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7C" w:rsidRPr="0078704F" w:rsidRDefault="00D5777C" w:rsidP="0078704F">
      <w:pPr>
        <w:pStyle w:val="Heading3"/>
        <w:ind w:left="5245" w:firstLine="0"/>
        <w:contextualSpacing/>
        <w:jc w:val="left"/>
        <w:rPr>
          <w:rStyle w:val="spelle"/>
          <w:sz w:val="24"/>
          <w:szCs w:val="24"/>
        </w:rPr>
      </w:pPr>
      <w:r w:rsidRPr="0078704F">
        <w:rPr>
          <w:rStyle w:val="spelle"/>
          <w:sz w:val="24"/>
          <w:szCs w:val="24"/>
        </w:rPr>
        <w:t>ЗАТВЕРДЖЕНО</w:t>
      </w:r>
    </w:p>
    <w:p w:rsidR="00D5777C" w:rsidRPr="0078704F" w:rsidRDefault="00D5777C" w:rsidP="0078704F">
      <w:pPr>
        <w:pStyle w:val="BlockText"/>
        <w:keepNext/>
        <w:ind w:left="5245"/>
        <w:contextualSpacing/>
        <w:rPr>
          <w:rStyle w:val="spelle"/>
          <w:sz w:val="24"/>
          <w:szCs w:val="24"/>
          <w:lang w:val="uk-UA"/>
        </w:rPr>
      </w:pPr>
      <w:r w:rsidRPr="0078704F">
        <w:rPr>
          <w:rStyle w:val="spelle"/>
          <w:sz w:val="24"/>
          <w:szCs w:val="24"/>
          <w:lang w:val="uk-UA"/>
        </w:rPr>
        <w:t xml:space="preserve">Наказ Держкіно </w:t>
      </w:r>
    </w:p>
    <w:p w:rsidR="00D5777C" w:rsidRPr="00BA1210" w:rsidRDefault="00D5777C" w:rsidP="002527F4">
      <w:pPr>
        <w:keepNext/>
        <w:ind w:left="5245" w:right="-99"/>
        <w:contextualSpacing/>
        <w:rPr>
          <w:rStyle w:val="spelle"/>
          <w:sz w:val="24"/>
          <w:szCs w:val="24"/>
          <w:lang w:val="uk-UA"/>
        </w:rPr>
      </w:pPr>
      <w:r>
        <w:rPr>
          <w:rStyle w:val="spelle"/>
          <w:sz w:val="24"/>
          <w:szCs w:val="24"/>
          <w:lang w:val="uk-UA"/>
        </w:rPr>
        <w:t>«30</w:t>
      </w:r>
      <w:r w:rsidRPr="00BA1210">
        <w:rPr>
          <w:rStyle w:val="spelle"/>
          <w:sz w:val="24"/>
          <w:szCs w:val="24"/>
          <w:lang w:val="uk-UA"/>
        </w:rPr>
        <w:t xml:space="preserve">» </w:t>
      </w:r>
      <w:r>
        <w:rPr>
          <w:rStyle w:val="spelle"/>
          <w:sz w:val="24"/>
          <w:szCs w:val="24"/>
          <w:lang w:val="uk-UA"/>
        </w:rPr>
        <w:t>листопада</w:t>
      </w:r>
      <w:r w:rsidRPr="00BA1210">
        <w:rPr>
          <w:rStyle w:val="spelle"/>
          <w:sz w:val="24"/>
          <w:szCs w:val="24"/>
          <w:lang w:val="uk-UA"/>
        </w:rPr>
        <w:t xml:space="preserve"> 2021 року № </w:t>
      </w:r>
      <w:r>
        <w:rPr>
          <w:rStyle w:val="spelle"/>
          <w:sz w:val="24"/>
          <w:szCs w:val="24"/>
          <w:lang w:val="uk-UA"/>
        </w:rPr>
        <w:t>244</w:t>
      </w:r>
      <w:r w:rsidRPr="00BA1210">
        <w:rPr>
          <w:rStyle w:val="spelle"/>
          <w:sz w:val="24"/>
          <w:szCs w:val="24"/>
          <w:lang w:val="uk-UA"/>
        </w:rPr>
        <w:t>-к/тр</w:t>
      </w:r>
    </w:p>
    <w:p w:rsidR="00D5777C" w:rsidRPr="0078704F" w:rsidRDefault="00D5777C" w:rsidP="0078704F">
      <w:pPr>
        <w:keepNext/>
        <w:contextualSpacing/>
        <w:jc w:val="center"/>
        <w:rPr>
          <w:b/>
          <w:snapToGrid w:val="0"/>
          <w:sz w:val="28"/>
          <w:lang w:val="uk-UA"/>
        </w:rPr>
      </w:pPr>
    </w:p>
    <w:p w:rsidR="00D5777C" w:rsidRPr="0078704F" w:rsidRDefault="00D5777C" w:rsidP="0078704F">
      <w:pPr>
        <w:keepNext/>
        <w:contextualSpacing/>
        <w:jc w:val="center"/>
        <w:rPr>
          <w:b/>
          <w:snapToGrid w:val="0"/>
          <w:sz w:val="28"/>
          <w:lang w:val="uk-UA"/>
        </w:rPr>
      </w:pPr>
      <w:r w:rsidRPr="0078704F">
        <w:rPr>
          <w:b/>
          <w:snapToGrid w:val="0"/>
          <w:sz w:val="28"/>
          <w:lang w:val="uk-UA"/>
        </w:rPr>
        <w:t>УМОВИ</w:t>
      </w:r>
    </w:p>
    <w:p w:rsidR="00D5777C" w:rsidRPr="0078704F" w:rsidRDefault="00D5777C" w:rsidP="0078704F">
      <w:pPr>
        <w:contextualSpacing/>
        <w:jc w:val="center"/>
        <w:rPr>
          <w:snapToGrid w:val="0"/>
          <w:sz w:val="28"/>
          <w:lang w:val="uk-UA"/>
        </w:rPr>
      </w:pPr>
      <w:r w:rsidRPr="0078704F">
        <w:rPr>
          <w:snapToGrid w:val="0"/>
          <w:sz w:val="28"/>
          <w:lang w:val="uk-UA"/>
        </w:rPr>
        <w:t xml:space="preserve">проведення конкурсу на зайняття вакантної посади </w:t>
      </w:r>
    </w:p>
    <w:p w:rsidR="00D5777C" w:rsidRPr="0078704F" w:rsidRDefault="00D5777C" w:rsidP="0078704F">
      <w:pPr>
        <w:contextualSpacing/>
        <w:jc w:val="center"/>
        <w:rPr>
          <w:sz w:val="28"/>
          <w:szCs w:val="28"/>
          <w:lang w:val="uk-UA"/>
        </w:rPr>
      </w:pPr>
      <w:r w:rsidRPr="0078704F">
        <w:rPr>
          <w:sz w:val="28"/>
          <w:szCs w:val="28"/>
          <w:lang w:val="uk-UA"/>
        </w:rPr>
        <w:t>головного спеціаліста сектору внутрішнього аудиту</w:t>
      </w:r>
    </w:p>
    <w:p w:rsidR="00D5777C" w:rsidRPr="0078704F" w:rsidRDefault="00D5777C" w:rsidP="0078704F">
      <w:pPr>
        <w:contextualSpacing/>
        <w:jc w:val="center"/>
        <w:rPr>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
        <w:gridCol w:w="2459"/>
        <w:gridCol w:w="6823"/>
      </w:tblGrid>
      <w:tr w:rsidR="00D5777C" w:rsidRPr="0078704F" w:rsidTr="0078704F">
        <w:trPr>
          <w:trHeight w:val="608"/>
        </w:trPr>
        <w:tc>
          <w:tcPr>
            <w:tcW w:w="9648" w:type="dxa"/>
            <w:gridSpan w:val="3"/>
            <w:vAlign w:val="center"/>
          </w:tcPr>
          <w:p w:rsidR="00D5777C" w:rsidRPr="0078704F" w:rsidRDefault="00D5777C" w:rsidP="0078704F">
            <w:pPr>
              <w:contextualSpacing/>
              <w:jc w:val="center"/>
              <w:rPr>
                <w:lang w:val="uk-UA"/>
              </w:rPr>
            </w:pPr>
            <w:r w:rsidRPr="0078704F">
              <w:rPr>
                <w:b/>
                <w:snapToGrid w:val="0"/>
                <w:lang w:val="uk-UA"/>
              </w:rPr>
              <w:t>Загальні умови</w:t>
            </w:r>
          </w:p>
        </w:tc>
      </w:tr>
      <w:tr w:rsidR="00D5777C" w:rsidRPr="0078704F" w:rsidTr="0078704F">
        <w:trPr>
          <w:trHeight w:val="10307"/>
        </w:trPr>
        <w:tc>
          <w:tcPr>
            <w:tcW w:w="2825" w:type="dxa"/>
            <w:gridSpan w:val="2"/>
            <w:vAlign w:val="center"/>
          </w:tcPr>
          <w:p w:rsidR="00D5777C" w:rsidRPr="0078704F" w:rsidRDefault="00D5777C" w:rsidP="0078704F">
            <w:pPr>
              <w:contextualSpacing/>
              <w:rPr>
                <w:lang w:val="uk-UA"/>
              </w:rPr>
            </w:pPr>
            <w:r w:rsidRPr="0078704F">
              <w:rPr>
                <w:snapToGrid w:val="0"/>
                <w:lang w:val="uk-UA"/>
              </w:rPr>
              <w:t>Посадові обов'язки</w:t>
            </w:r>
          </w:p>
        </w:tc>
        <w:tc>
          <w:tcPr>
            <w:tcW w:w="6823" w:type="dxa"/>
            <w:vAlign w:val="center"/>
          </w:tcPr>
          <w:p w:rsidR="00D5777C" w:rsidRPr="0078704F" w:rsidRDefault="00D5777C" w:rsidP="0078704F">
            <w:pPr>
              <w:pStyle w:val="NormalWeb"/>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 xml:space="preserve">Бере участь у: </w:t>
            </w:r>
          </w:p>
          <w:p w:rsidR="00D5777C" w:rsidRPr="0078704F" w:rsidRDefault="00D5777C" w:rsidP="0078704F">
            <w:pPr>
              <w:pStyle w:val="NormalWeb"/>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 xml:space="preserve"> розробленні проектів нормативно-правових актів, щ належить до компетенції сектору;</w:t>
            </w:r>
          </w:p>
          <w:p w:rsidR="00D5777C" w:rsidRPr="0078704F" w:rsidRDefault="00D5777C" w:rsidP="0078704F">
            <w:pPr>
              <w:pStyle w:val="NormalWeb"/>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 xml:space="preserve"> складанні а веденні бази даних щодо об’єктів внутрішнього аудиту, своєчасного її оновлення;</w:t>
            </w:r>
          </w:p>
          <w:p w:rsidR="00D5777C" w:rsidRPr="0078704F" w:rsidRDefault="00D5777C" w:rsidP="0078704F">
            <w:pPr>
              <w:pStyle w:val="NormalWeb"/>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 xml:space="preserve"> визначенні ризиків та їх оцінці, пріоритезації об’єктів внутрішнього аудиту для  планування діяльності з внутрішнього аудиту;</w:t>
            </w:r>
          </w:p>
          <w:p w:rsidR="00D5777C" w:rsidRPr="0078704F" w:rsidRDefault="00D5777C" w:rsidP="0078704F">
            <w:pPr>
              <w:pStyle w:val="NormalWeb"/>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 xml:space="preserve"> підготовці пропозицій керівнику сектору щодо включення тем внутрішнього аудиту/пріоритетних об’єктів внутрішнього аудиту до стратегічних та операційних планів діяльності з внутрішнього аудиту на підставі здійсненої оцінки ризиків та після консультацій, проведених з керівництвом та посадовими особами Держкіно, які безпосередньо відповідають за функції, процеси та операції, що охоплюються внутрішнім аудитом;</w:t>
            </w:r>
          </w:p>
          <w:p w:rsidR="00D5777C" w:rsidRPr="0078704F" w:rsidRDefault="00D5777C" w:rsidP="0078704F">
            <w:pPr>
              <w:pStyle w:val="NormalWeb"/>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роботі з підвищення кваліфікації працівників сектору;</w:t>
            </w:r>
          </w:p>
          <w:p w:rsidR="00D5777C" w:rsidRPr="0078704F" w:rsidRDefault="00D5777C" w:rsidP="0078704F">
            <w:pPr>
              <w:pStyle w:val="NormalWeb"/>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організації та проведенні нарад, семінарів, конференцій з питань, які належать до компетенції сектору;</w:t>
            </w:r>
          </w:p>
          <w:p w:rsidR="00D5777C" w:rsidRPr="0078704F" w:rsidRDefault="00D5777C" w:rsidP="0078704F">
            <w:pPr>
              <w:pStyle w:val="NormalWeb"/>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підготовці інформації для засобів масової інформації з питань, що належать до повноважень сектору.</w:t>
            </w:r>
          </w:p>
          <w:p w:rsidR="00D5777C" w:rsidRPr="0078704F" w:rsidRDefault="00D5777C" w:rsidP="0078704F">
            <w:pPr>
              <w:pStyle w:val="NormalWeb"/>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Очолює або бере участь у проведенні планових та позапланових внутрішніх аудитів, документує їх результати, готує аудиторські звіти, висновки та рекомендації за результатами проведених внутрішніх аудитів, здійснює контроль за станом їх реалізації, формує та зберігає матеріали внутрішніх аудитів згідно з порядком, встановленим законодавством та внутрішніми документами Держкіно з питань проведення внутрішнього аудиту.</w:t>
            </w:r>
          </w:p>
          <w:p w:rsidR="00D5777C" w:rsidRPr="0078704F" w:rsidRDefault="00D5777C" w:rsidP="0078704F">
            <w:pPr>
              <w:pStyle w:val="NormalWeb"/>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Очолює або бере участь у проведенні повторних внутрішніх аудитах для перевірки фактів, викладених у скаргах на дії працівників Сектору (у разі їх надходження до Держкіно).</w:t>
            </w:r>
          </w:p>
          <w:p w:rsidR="00D5777C" w:rsidRPr="0078704F" w:rsidRDefault="00D5777C" w:rsidP="0078704F">
            <w:pPr>
              <w:pStyle w:val="NormalWeb"/>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 xml:space="preserve">Самостійно визначає: </w:t>
            </w:r>
          </w:p>
          <w:p w:rsidR="00D5777C" w:rsidRPr="0078704F" w:rsidRDefault="00D5777C" w:rsidP="0078704F">
            <w:pPr>
              <w:pStyle w:val="NormalWeb"/>
              <w:tabs>
                <w:tab w:val="left" w:pos="284"/>
                <w:tab w:val="left" w:pos="432"/>
              </w:tabs>
              <w:spacing w:before="0" w:beforeAutospacing="0" w:after="0" w:afterAutospacing="0"/>
              <w:jc w:val="both"/>
              <w:rPr>
                <w:sz w:val="20"/>
                <w:szCs w:val="20"/>
                <w:lang w:val="uk-UA"/>
              </w:rPr>
            </w:pPr>
            <w:r w:rsidRPr="0078704F">
              <w:rPr>
                <w:sz w:val="20"/>
                <w:szCs w:val="20"/>
                <w:lang w:val="uk-UA"/>
              </w:rPr>
              <w:t xml:space="preserve">     - цілі внутр. аудиту та його очікувані результати; </w:t>
            </w:r>
          </w:p>
          <w:p w:rsidR="00D5777C" w:rsidRPr="0078704F" w:rsidRDefault="00D5777C" w:rsidP="0078704F">
            <w:pPr>
              <w:pStyle w:val="NormalWeb"/>
              <w:numPr>
                <w:ilvl w:val="0"/>
                <w:numId w:val="8"/>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суттєвість помилки, ризики та оцінює ступінь їх можливого впливу;</w:t>
            </w:r>
          </w:p>
          <w:p w:rsidR="00D5777C" w:rsidRPr="0078704F" w:rsidRDefault="00D5777C" w:rsidP="0078704F">
            <w:pPr>
              <w:pStyle w:val="NormalWeb"/>
              <w:numPr>
                <w:ilvl w:val="0"/>
                <w:numId w:val="8"/>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методи, методичні прийоми та процедури, які застосовуються під час проведення внутрішнього аудиту, залежно від об'єкта внутрішнього аудиту та відповідно до вимог внутрішніх документів з питань проведення внутрішнього аудиту.</w:t>
            </w:r>
          </w:p>
          <w:p w:rsidR="00D5777C" w:rsidRPr="0078704F" w:rsidRDefault="00D5777C" w:rsidP="0078704F">
            <w:pPr>
              <w:pStyle w:val="NormalWeb"/>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Здійснює моніторинг впровадження рекомендацій за результатами проведених внутрішніх аудитів.</w:t>
            </w:r>
          </w:p>
          <w:p w:rsidR="00D5777C" w:rsidRPr="0078704F" w:rsidRDefault="00D5777C" w:rsidP="0078704F">
            <w:pPr>
              <w:pStyle w:val="NormalWeb"/>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 xml:space="preserve">Формує або бере участь у підготовці звіту про результати діяльності сектору за формою, затвердженою наказом Мінфіном від 27.03.2014 № 347, забезпечує своєчасне його подання Голові Держкіно та Мінфіну. </w:t>
            </w:r>
          </w:p>
          <w:p w:rsidR="00D5777C" w:rsidRPr="0078704F" w:rsidRDefault="00D5777C" w:rsidP="0078704F">
            <w:pPr>
              <w:pStyle w:val="NormalWeb"/>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 xml:space="preserve">Готує проекти відповідей на запити органів державної влади, підприємств, установ, організацій та громадян з питань, що стосуються його компетенції. </w:t>
            </w:r>
          </w:p>
          <w:p w:rsidR="00D5777C" w:rsidRPr="0078704F" w:rsidRDefault="00D5777C" w:rsidP="0078704F">
            <w:pPr>
              <w:pStyle w:val="NormalWeb"/>
              <w:tabs>
                <w:tab w:val="left" w:pos="284"/>
                <w:tab w:val="left" w:pos="432"/>
              </w:tabs>
              <w:spacing w:before="0" w:beforeAutospacing="0" w:after="0" w:afterAutospacing="0"/>
              <w:ind w:firstLine="252"/>
              <w:jc w:val="both"/>
              <w:rPr>
                <w:sz w:val="20"/>
                <w:szCs w:val="20"/>
                <w:lang w:val="uk-UA"/>
              </w:rPr>
            </w:pPr>
            <w:r w:rsidRPr="0078704F">
              <w:rPr>
                <w:sz w:val="20"/>
                <w:szCs w:val="20"/>
                <w:lang w:val="uk-UA"/>
              </w:rPr>
              <w:t>8. Здійснює роботу з формування, зберігання, передачі до архіву та знищення справ внутрішнього аудиту відповідно до законодавства.</w:t>
            </w:r>
          </w:p>
        </w:tc>
      </w:tr>
      <w:tr w:rsidR="00D5777C" w:rsidRPr="002B6F29" w:rsidTr="005A158B">
        <w:tc>
          <w:tcPr>
            <w:tcW w:w="2825" w:type="dxa"/>
            <w:gridSpan w:val="2"/>
            <w:vAlign w:val="center"/>
          </w:tcPr>
          <w:p w:rsidR="00D5777C" w:rsidRPr="0078704F" w:rsidRDefault="00D5777C" w:rsidP="0078704F">
            <w:pPr>
              <w:contextualSpacing/>
              <w:rPr>
                <w:snapToGrid w:val="0"/>
                <w:lang w:val="uk-UA"/>
              </w:rPr>
            </w:pPr>
            <w:r w:rsidRPr="0078704F">
              <w:rPr>
                <w:snapToGrid w:val="0"/>
                <w:lang w:val="uk-UA"/>
              </w:rPr>
              <w:t>Умови оплати праці</w:t>
            </w:r>
          </w:p>
        </w:tc>
        <w:tc>
          <w:tcPr>
            <w:tcW w:w="6823" w:type="dxa"/>
          </w:tcPr>
          <w:p w:rsidR="00D5777C" w:rsidRPr="0078704F" w:rsidRDefault="00D5777C" w:rsidP="0078704F">
            <w:pPr>
              <w:ind w:firstLine="252"/>
              <w:jc w:val="both"/>
              <w:rPr>
                <w:lang w:val="uk-UA"/>
              </w:rPr>
            </w:pPr>
            <w:r w:rsidRPr="0078704F">
              <w:rPr>
                <w:lang w:val="uk-UA"/>
              </w:rPr>
              <w:t>посадовий оклад згідно із штатним розписом в розмірі 8500 гривень</w:t>
            </w:r>
            <w:r w:rsidRPr="0078704F">
              <w:rPr>
                <w:snapToGrid w:val="0"/>
                <w:lang w:val="uk-UA"/>
              </w:rPr>
              <w:t>, надбавка за вислугу років у розмірі, визначеному статтею 52 Закону України «Про державну службу» від 10 грудня 2015 № 889, надбавка за ранг державного службовця відповідно до вимог постанови Кабінету Міністрів України «Питання оплати праці працівників державних органів» від 18 січня 2017 № 15</w:t>
            </w:r>
          </w:p>
        </w:tc>
      </w:tr>
      <w:tr w:rsidR="00D5777C" w:rsidRPr="0078704F" w:rsidTr="005A158B">
        <w:tc>
          <w:tcPr>
            <w:tcW w:w="2825" w:type="dxa"/>
            <w:gridSpan w:val="2"/>
            <w:vAlign w:val="center"/>
          </w:tcPr>
          <w:p w:rsidR="00D5777C" w:rsidRPr="0078704F" w:rsidRDefault="00D5777C" w:rsidP="0078704F">
            <w:pPr>
              <w:contextualSpacing/>
              <w:rPr>
                <w:snapToGrid w:val="0"/>
                <w:lang w:val="uk-UA"/>
              </w:rPr>
            </w:pPr>
            <w:r w:rsidRPr="0078704F">
              <w:rPr>
                <w:snapToGrid w:val="0"/>
                <w:lang w:val="uk-UA"/>
              </w:rPr>
              <w:t>Інформація про строковість чи безстроковість призначення на посаду</w:t>
            </w:r>
          </w:p>
        </w:tc>
        <w:tc>
          <w:tcPr>
            <w:tcW w:w="6823" w:type="dxa"/>
          </w:tcPr>
          <w:p w:rsidR="00D5777C" w:rsidRPr="0078704F" w:rsidRDefault="00D5777C" w:rsidP="0078704F">
            <w:pPr>
              <w:pStyle w:val="rvps12"/>
              <w:keepNext/>
              <w:spacing w:before="0" w:after="0"/>
              <w:ind w:firstLine="210"/>
              <w:contextualSpacing/>
              <w:jc w:val="both"/>
              <w:rPr>
                <w:sz w:val="20"/>
                <w:lang w:val="uk-UA"/>
              </w:rPr>
            </w:pPr>
            <w:r w:rsidRPr="0078704F">
              <w:rPr>
                <w:sz w:val="20"/>
                <w:lang w:val="uk-UA"/>
              </w:rPr>
              <w:t>безстроково</w:t>
            </w:r>
          </w:p>
          <w:p w:rsidR="00D5777C" w:rsidRPr="0078704F" w:rsidRDefault="00D5777C" w:rsidP="0078704F">
            <w:pPr>
              <w:ind w:firstLine="252"/>
              <w:jc w:val="both"/>
              <w:rPr>
                <w:lang w:val="uk-UA"/>
              </w:rPr>
            </w:pPr>
            <w:r w:rsidRPr="0078704F">
              <w:rPr>
                <w:lang w:val="uk-UA"/>
              </w:rPr>
              <w:t>стр</w:t>
            </w:r>
            <w:r w:rsidRPr="0078704F">
              <w:rPr>
                <w:shd w:val="clear" w:color="auto" w:fill="FFFFFF"/>
                <w:lang w:val="uk-UA"/>
              </w:rPr>
              <w:t>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D5777C" w:rsidRPr="0078704F" w:rsidTr="005A158B">
        <w:tc>
          <w:tcPr>
            <w:tcW w:w="2825" w:type="dxa"/>
            <w:gridSpan w:val="2"/>
            <w:vAlign w:val="center"/>
          </w:tcPr>
          <w:p w:rsidR="00D5777C" w:rsidRPr="0078704F" w:rsidRDefault="00D5777C" w:rsidP="0078704F">
            <w:pPr>
              <w:contextualSpacing/>
              <w:rPr>
                <w:snapToGrid w:val="0"/>
                <w:lang w:val="uk-UA"/>
              </w:rPr>
            </w:pPr>
            <w:r w:rsidRPr="0078704F">
              <w:rPr>
                <w:shd w:val="clear" w:color="auto" w:fill="FFFFFF"/>
                <w:lang w:val="uk-UA"/>
              </w:rPr>
              <w:t>Перелік інформації, необхідної для участі в конкурсі, та строк її подання</w:t>
            </w:r>
          </w:p>
        </w:tc>
        <w:tc>
          <w:tcPr>
            <w:tcW w:w="6823" w:type="dxa"/>
          </w:tcPr>
          <w:p w:rsidR="00D5777C" w:rsidRPr="0078704F" w:rsidRDefault="00D5777C" w:rsidP="0078704F">
            <w:pPr>
              <w:pStyle w:val="rvps2"/>
              <w:shd w:val="clear" w:color="auto" w:fill="FFFFFF"/>
              <w:spacing w:before="0" w:after="0"/>
              <w:ind w:firstLine="210"/>
              <w:contextualSpacing/>
              <w:jc w:val="both"/>
              <w:rPr>
                <w:sz w:val="20"/>
                <w:lang w:val="uk-UA"/>
              </w:rPr>
            </w:pPr>
            <w:r w:rsidRPr="0078704F">
              <w:rPr>
                <w:sz w:val="20"/>
                <w:lang w:val="uk-UA"/>
              </w:rPr>
              <w:t>1) заява про участь у конкурсі із зазначенням основних мотивів щодо зайняття посади державної служби</w:t>
            </w:r>
            <w:r w:rsidRPr="0078704F">
              <w:rPr>
                <w:sz w:val="20"/>
                <w:shd w:val="clear" w:color="auto" w:fill="FFFFFF"/>
                <w:lang w:val="uk-UA"/>
              </w:rPr>
              <w:t xml:space="preserve"> за формою згідно з додатком 2 </w:t>
            </w:r>
            <w:r w:rsidRPr="0078704F">
              <w:rPr>
                <w:sz w:val="20"/>
                <w:lang w:val="uk-UA"/>
              </w:rPr>
              <w:t xml:space="preserve">Порядку проведення </w:t>
            </w:r>
            <w:r w:rsidRPr="0078704F">
              <w:rPr>
                <w:bCs/>
                <w:sz w:val="20"/>
                <w:shd w:val="clear" w:color="auto" w:fill="FFFFFF"/>
                <w:lang w:val="uk-UA"/>
              </w:rPr>
              <w:t xml:space="preserve">конкурсу на зайняття посад державної служби, затвердженого </w:t>
            </w:r>
            <w:r w:rsidRPr="0078704F">
              <w:rPr>
                <w:sz w:val="20"/>
                <w:lang w:val="uk-UA"/>
              </w:rPr>
              <w:t>постановою Кабінету Міністрів України від 25.03.2016 №246;</w:t>
            </w:r>
          </w:p>
          <w:p w:rsidR="00D5777C" w:rsidRPr="0078704F" w:rsidRDefault="00D5777C" w:rsidP="0078704F">
            <w:pPr>
              <w:pStyle w:val="rvps2"/>
              <w:shd w:val="clear" w:color="auto" w:fill="FFFFFF"/>
              <w:spacing w:before="0" w:after="0"/>
              <w:ind w:firstLine="210"/>
              <w:contextualSpacing/>
              <w:jc w:val="both"/>
              <w:rPr>
                <w:sz w:val="20"/>
                <w:lang w:val="uk-UA"/>
              </w:rPr>
            </w:pPr>
            <w:r w:rsidRPr="0078704F">
              <w:rPr>
                <w:sz w:val="20"/>
                <w:lang w:val="uk-UA"/>
              </w:rPr>
              <w:t>2) резюме за формою згідно з додатком 2</w:t>
            </w:r>
            <w:r w:rsidRPr="0078704F">
              <w:rPr>
                <w:sz w:val="20"/>
                <w:vertAlign w:val="superscript"/>
                <w:lang w:val="uk-UA"/>
              </w:rPr>
              <w:t xml:space="preserve">1 </w:t>
            </w:r>
            <w:r w:rsidRPr="0078704F">
              <w:rPr>
                <w:sz w:val="20"/>
                <w:lang w:val="uk-UA"/>
              </w:rPr>
              <w:t xml:space="preserve">Порядку проведення </w:t>
            </w:r>
            <w:r w:rsidRPr="0078704F">
              <w:rPr>
                <w:bCs/>
                <w:sz w:val="20"/>
                <w:shd w:val="clear" w:color="auto" w:fill="FFFFFF"/>
                <w:lang w:val="uk-UA"/>
              </w:rPr>
              <w:t xml:space="preserve">конкурсу на зайняття посад державної служби, затвердженого </w:t>
            </w:r>
            <w:r w:rsidRPr="0078704F">
              <w:rPr>
                <w:sz w:val="20"/>
                <w:lang w:val="uk-UA"/>
              </w:rPr>
              <w:t>постановою Кабінету Міністрів України від 25.03.2016 №246, в якому обов’язково зазначається така інформація:</w:t>
            </w:r>
          </w:p>
          <w:p w:rsidR="00D5777C" w:rsidRPr="0078704F" w:rsidRDefault="00D5777C" w:rsidP="0078704F">
            <w:pPr>
              <w:pStyle w:val="rvps2"/>
              <w:shd w:val="clear" w:color="auto" w:fill="FFFFFF"/>
              <w:spacing w:before="0" w:after="0"/>
              <w:ind w:firstLine="450"/>
              <w:jc w:val="both"/>
              <w:rPr>
                <w:sz w:val="20"/>
                <w:lang w:val="uk-UA"/>
              </w:rPr>
            </w:pPr>
            <w:r w:rsidRPr="0078704F">
              <w:rPr>
                <w:sz w:val="20"/>
                <w:lang w:val="uk-UA"/>
              </w:rPr>
              <w:t>прізвище, ім’я, по батькові кандидата;</w:t>
            </w:r>
          </w:p>
          <w:p w:rsidR="00D5777C" w:rsidRPr="0078704F" w:rsidRDefault="00D5777C" w:rsidP="0078704F">
            <w:pPr>
              <w:pStyle w:val="rvps2"/>
              <w:shd w:val="clear" w:color="auto" w:fill="FFFFFF"/>
              <w:spacing w:before="0" w:after="0"/>
              <w:ind w:firstLine="450"/>
              <w:jc w:val="both"/>
              <w:rPr>
                <w:sz w:val="20"/>
                <w:lang w:val="uk-UA"/>
              </w:rPr>
            </w:pPr>
            <w:bookmarkStart w:id="0" w:name="n1173"/>
            <w:bookmarkEnd w:id="0"/>
            <w:r w:rsidRPr="0078704F">
              <w:rPr>
                <w:sz w:val="20"/>
                <w:lang w:val="uk-UA"/>
              </w:rPr>
              <w:t>реквізити документа, що посвідчує особу та підтверджує громадянство України;</w:t>
            </w:r>
          </w:p>
          <w:p w:rsidR="00D5777C" w:rsidRPr="0078704F" w:rsidRDefault="00D5777C" w:rsidP="0078704F">
            <w:pPr>
              <w:pStyle w:val="rvps2"/>
              <w:shd w:val="clear" w:color="auto" w:fill="FFFFFF"/>
              <w:spacing w:before="0" w:after="0"/>
              <w:ind w:firstLine="450"/>
              <w:jc w:val="both"/>
              <w:rPr>
                <w:sz w:val="20"/>
                <w:lang w:val="uk-UA"/>
              </w:rPr>
            </w:pPr>
            <w:bookmarkStart w:id="1" w:name="n1174"/>
            <w:bookmarkEnd w:id="1"/>
            <w:r w:rsidRPr="0078704F">
              <w:rPr>
                <w:sz w:val="20"/>
                <w:lang w:val="uk-UA"/>
              </w:rPr>
              <w:t>підтвердження наявності відповідного ступеня вищої освіти;</w:t>
            </w:r>
          </w:p>
          <w:p w:rsidR="00D5777C" w:rsidRPr="0078704F" w:rsidRDefault="00D5777C" w:rsidP="0078704F">
            <w:pPr>
              <w:pStyle w:val="rvps2"/>
              <w:shd w:val="clear" w:color="auto" w:fill="FFFFFF"/>
              <w:spacing w:before="0" w:after="0"/>
              <w:ind w:firstLine="450"/>
              <w:jc w:val="both"/>
              <w:rPr>
                <w:sz w:val="20"/>
                <w:lang w:val="uk-UA"/>
              </w:rPr>
            </w:pPr>
            <w:bookmarkStart w:id="2" w:name="n1175"/>
            <w:bookmarkStart w:id="3" w:name="n1176"/>
            <w:bookmarkEnd w:id="2"/>
            <w:bookmarkEnd w:id="3"/>
            <w:r w:rsidRPr="0078704F">
              <w:rPr>
                <w:sz w:val="20"/>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D5777C" w:rsidRPr="0078704F" w:rsidRDefault="00D5777C" w:rsidP="0078704F">
            <w:pPr>
              <w:pStyle w:val="rvps2"/>
              <w:shd w:val="clear" w:color="auto" w:fill="FFFFFF"/>
              <w:spacing w:before="0" w:after="0"/>
              <w:ind w:firstLine="210"/>
              <w:contextualSpacing/>
              <w:jc w:val="both"/>
              <w:rPr>
                <w:sz w:val="20"/>
                <w:shd w:val="clear" w:color="auto" w:fill="FFFFFF"/>
                <w:lang w:val="uk-UA"/>
              </w:rPr>
            </w:pPr>
            <w:r w:rsidRPr="0078704F">
              <w:rPr>
                <w:sz w:val="20"/>
                <w:shd w:val="clear" w:color="auto" w:fill="FFFFFF"/>
                <w:lang w:val="uk-UA"/>
              </w:rPr>
              <w:t>3) заяву, в якій повідомляє, що до неї не застосовуються заборони, визначені частиною </w:t>
            </w:r>
            <w:hyperlink r:id="rId7" w:anchor="n13" w:tgtFrame="_blank" w:history="1">
              <w:r w:rsidRPr="0078704F">
                <w:rPr>
                  <w:rStyle w:val="Hyperlink"/>
                  <w:color w:val="auto"/>
                  <w:sz w:val="20"/>
                  <w:shd w:val="clear" w:color="auto" w:fill="FFFFFF"/>
                  <w:lang w:val="uk-UA"/>
                </w:rPr>
                <w:t>третьою</w:t>
              </w:r>
            </w:hyperlink>
            <w:r w:rsidRPr="0078704F">
              <w:rPr>
                <w:sz w:val="20"/>
                <w:shd w:val="clear" w:color="auto" w:fill="FFFFFF"/>
                <w:lang w:val="uk-UA"/>
              </w:rPr>
              <w:t> або </w:t>
            </w:r>
            <w:hyperlink r:id="rId8" w:anchor="n14" w:tgtFrame="_blank" w:history="1">
              <w:r w:rsidRPr="0078704F">
                <w:rPr>
                  <w:rStyle w:val="Hyperlink"/>
                  <w:color w:val="auto"/>
                  <w:sz w:val="20"/>
                  <w:shd w:val="clear" w:color="auto" w:fill="FFFFFF"/>
                  <w:lang w:val="uk-UA"/>
                </w:rPr>
                <w:t>четвертою</w:t>
              </w:r>
            </w:hyperlink>
            <w:r w:rsidRPr="0078704F">
              <w:rPr>
                <w:sz w:val="20"/>
                <w:shd w:val="clear" w:color="auto" w:fill="FFFFFF"/>
                <w:lang w:val="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5777C" w:rsidRPr="0078704F" w:rsidRDefault="00D5777C" w:rsidP="0078704F">
            <w:pPr>
              <w:pStyle w:val="rvps2"/>
              <w:shd w:val="clear" w:color="auto" w:fill="FFFFFF"/>
              <w:spacing w:before="0" w:after="0"/>
              <w:ind w:firstLine="210"/>
              <w:contextualSpacing/>
              <w:jc w:val="both"/>
              <w:rPr>
                <w:sz w:val="20"/>
                <w:shd w:val="clear" w:color="auto" w:fill="FFFFFF"/>
                <w:lang w:val="uk-UA"/>
              </w:rPr>
            </w:pPr>
            <w:r w:rsidRPr="0078704F">
              <w:rPr>
                <w:sz w:val="20"/>
                <w:shd w:val="clear" w:color="auto" w:fill="FFFFFF"/>
                <w:lang w:val="uk-UA"/>
              </w:rPr>
              <w:t>4)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D5777C" w:rsidRPr="0078704F" w:rsidRDefault="00D5777C" w:rsidP="0078704F">
            <w:pPr>
              <w:pStyle w:val="rvps2"/>
              <w:shd w:val="clear" w:color="auto" w:fill="FFFFFF"/>
              <w:spacing w:before="0" w:after="0"/>
              <w:ind w:firstLine="210"/>
              <w:contextualSpacing/>
              <w:jc w:val="both"/>
              <w:rPr>
                <w:sz w:val="20"/>
                <w:lang w:val="uk-UA"/>
              </w:rPr>
            </w:pPr>
            <w:r w:rsidRPr="0078704F">
              <w:rPr>
                <w:sz w:val="20"/>
                <w:lang w:val="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D5777C" w:rsidRPr="0078704F" w:rsidRDefault="00D5777C" w:rsidP="0078704F">
            <w:pPr>
              <w:ind w:firstLine="252"/>
              <w:jc w:val="both"/>
              <w:rPr>
                <w:lang w:val="uk-UA"/>
              </w:rPr>
            </w:pPr>
            <w:r w:rsidRPr="0078704F">
              <w:rPr>
                <w:lang w:val="uk-UA"/>
              </w:rPr>
              <w:t xml:space="preserve">Документи подаються до </w:t>
            </w:r>
            <w:r>
              <w:rPr>
                <w:b/>
                <w:lang w:val="uk-UA"/>
              </w:rPr>
              <w:t>16 годин 00 хвилин 07 грудня</w:t>
            </w:r>
            <w:r w:rsidRPr="0078704F">
              <w:rPr>
                <w:b/>
                <w:lang w:val="uk-UA"/>
              </w:rPr>
              <w:t xml:space="preserve"> 2021</w:t>
            </w:r>
            <w:r w:rsidRPr="0078704F">
              <w:rPr>
                <w:lang w:val="uk-UA"/>
              </w:rPr>
              <w:t xml:space="preserve"> року</w:t>
            </w:r>
          </w:p>
        </w:tc>
      </w:tr>
      <w:tr w:rsidR="00D5777C" w:rsidRPr="0078704F" w:rsidTr="0078704F">
        <w:trPr>
          <w:trHeight w:val="1102"/>
        </w:trPr>
        <w:tc>
          <w:tcPr>
            <w:tcW w:w="2825" w:type="dxa"/>
            <w:gridSpan w:val="2"/>
            <w:vAlign w:val="center"/>
          </w:tcPr>
          <w:p w:rsidR="00D5777C" w:rsidRPr="0078704F" w:rsidRDefault="00D5777C" w:rsidP="0078704F">
            <w:pPr>
              <w:keepNext/>
              <w:contextualSpacing/>
              <w:rPr>
                <w:shd w:val="clear" w:color="auto" w:fill="FFFFFF"/>
                <w:lang w:val="uk-UA"/>
              </w:rPr>
            </w:pPr>
            <w:r w:rsidRPr="0078704F">
              <w:rPr>
                <w:shd w:val="clear" w:color="auto" w:fill="FFFFFF"/>
                <w:lang w:val="uk-UA"/>
              </w:rPr>
              <w:t>Додаткові (необов’язкові) документи</w:t>
            </w:r>
          </w:p>
        </w:tc>
        <w:tc>
          <w:tcPr>
            <w:tcW w:w="6823" w:type="dxa"/>
            <w:vAlign w:val="center"/>
          </w:tcPr>
          <w:p w:rsidR="00D5777C" w:rsidRPr="0078704F" w:rsidRDefault="00D5777C" w:rsidP="0078704F">
            <w:pPr>
              <w:pStyle w:val="rvps2"/>
              <w:shd w:val="clear" w:color="auto" w:fill="FFFFFF"/>
              <w:spacing w:before="0" w:after="0"/>
              <w:ind w:firstLine="210"/>
              <w:contextualSpacing/>
              <w:rPr>
                <w:sz w:val="20"/>
                <w:lang w:val="uk-UA"/>
              </w:rPr>
            </w:pPr>
            <w:r w:rsidRPr="0078704F">
              <w:rPr>
                <w:sz w:val="20"/>
                <w:shd w:val="clear" w:color="auto" w:fill="FFFFFF"/>
                <w:lang w:val="uk-UA"/>
              </w:rPr>
              <w:t xml:space="preserve">заява щодо забезпечення розумним пристосуванням за формою згідно з додатком 3 </w:t>
            </w:r>
            <w:r w:rsidRPr="0078704F">
              <w:rPr>
                <w:sz w:val="20"/>
                <w:lang w:val="uk-UA"/>
              </w:rPr>
              <w:t xml:space="preserve">Порядку проведення </w:t>
            </w:r>
            <w:r w:rsidRPr="0078704F">
              <w:rPr>
                <w:bCs/>
                <w:sz w:val="20"/>
                <w:shd w:val="clear" w:color="auto" w:fill="FFFFFF"/>
                <w:lang w:val="uk-UA"/>
              </w:rPr>
              <w:t xml:space="preserve">конкурсу на зайняття посад державної служби, затвердженого </w:t>
            </w:r>
            <w:r w:rsidRPr="0078704F">
              <w:rPr>
                <w:sz w:val="20"/>
                <w:lang w:val="uk-UA"/>
              </w:rPr>
              <w:t>постановою Кабінету Міністрів України від 25.03.2016 №246</w:t>
            </w:r>
          </w:p>
        </w:tc>
      </w:tr>
      <w:tr w:rsidR="00D5777C" w:rsidRPr="002B6F29" w:rsidTr="0078704F">
        <w:trPr>
          <w:trHeight w:val="4297"/>
        </w:trPr>
        <w:tc>
          <w:tcPr>
            <w:tcW w:w="2825" w:type="dxa"/>
            <w:gridSpan w:val="2"/>
          </w:tcPr>
          <w:p w:rsidR="00D5777C" w:rsidRPr="0078704F" w:rsidRDefault="00D5777C" w:rsidP="0078704F">
            <w:pPr>
              <w:pStyle w:val="Heading1"/>
              <w:contextualSpacing/>
              <w:jc w:val="left"/>
              <w:rPr>
                <w:sz w:val="20"/>
                <w:shd w:val="clear" w:color="auto" w:fill="FFFFFF"/>
              </w:rPr>
            </w:pPr>
            <w:r w:rsidRPr="0078704F">
              <w:rPr>
                <w:sz w:val="20"/>
                <w:shd w:val="clear" w:color="auto" w:fill="FFFFFF"/>
              </w:rPr>
              <w:t xml:space="preserve">Дата і час початку проведення тестування кандидатів. </w:t>
            </w:r>
          </w:p>
          <w:p w:rsidR="00D5777C" w:rsidRPr="0078704F" w:rsidRDefault="00D5777C" w:rsidP="0078704F">
            <w:pPr>
              <w:contextualSpacing/>
              <w:rPr>
                <w:lang w:val="uk-UA"/>
              </w:rPr>
            </w:pPr>
          </w:p>
          <w:p w:rsidR="00D5777C" w:rsidRPr="0078704F" w:rsidRDefault="00D5777C" w:rsidP="0078704F">
            <w:pPr>
              <w:pStyle w:val="Heading1"/>
              <w:contextualSpacing/>
              <w:jc w:val="left"/>
              <w:rPr>
                <w:sz w:val="20"/>
                <w:shd w:val="clear" w:color="auto" w:fill="FFFFFF"/>
              </w:rPr>
            </w:pPr>
            <w:r w:rsidRPr="0078704F">
              <w:rPr>
                <w:sz w:val="20"/>
                <w:shd w:val="clear" w:color="auto" w:fill="FFFFFF"/>
              </w:rPr>
              <w:t xml:space="preserve">Місце або спосіб проведення тестування. </w:t>
            </w:r>
          </w:p>
          <w:p w:rsidR="00D5777C" w:rsidRPr="0078704F" w:rsidRDefault="00D5777C" w:rsidP="0078704F">
            <w:pPr>
              <w:contextualSpacing/>
              <w:rPr>
                <w:lang w:val="uk-UA"/>
              </w:rPr>
            </w:pPr>
          </w:p>
          <w:p w:rsidR="00D5777C" w:rsidRPr="0078704F" w:rsidRDefault="00D5777C" w:rsidP="0078704F">
            <w:pPr>
              <w:pStyle w:val="Heading1"/>
              <w:contextualSpacing/>
              <w:jc w:val="left"/>
              <w:rPr>
                <w:sz w:val="20"/>
                <w:shd w:val="clear" w:color="auto" w:fill="FFFFFF"/>
              </w:rPr>
            </w:pPr>
            <w:r w:rsidRPr="0078704F">
              <w:rPr>
                <w:sz w:val="20"/>
                <w:shd w:val="clear" w:color="auto" w:fill="FFFFFF"/>
              </w:rPr>
              <w:t>Місце або спосіб проведення співбесіди.</w:t>
            </w:r>
          </w:p>
          <w:p w:rsidR="00D5777C" w:rsidRPr="0078704F" w:rsidRDefault="00D5777C" w:rsidP="0078704F">
            <w:pPr>
              <w:contextualSpacing/>
              <w:rPr>
                <w:lang w:val="uk-UA"/>
              </w:rPr>
            </w:pPr>
          </w:p>
          <w:p w:rsidR="00D5777C" w:rsidRPr="0078704F" w:rsidRDefault="00D5777C" w:rsidP="0078704F">
            <w:pPr>
              <w:contextualSpacing/>
              <w:rPr>
                <w:lang w:val="uk-UA"/>
              </w:rPr>
            </w:pPr>
          </w:p>
          <w:p w:rsidR="00D5777C" w:rsidRPr="0078704F" w:rsidRDefault="00D5777C" w:rsidP="0078704F">
            <w:pPr>
              <w:contextualSpacing/>
              <w:rPr>
                <w:lang w:val="uk-UA"/>
              </w:rPr>
            </w:pPr>
          </w:p>
          <w:p w:rsidR="00D5777C" w:rsidRPr="0078704F" w:rsidRDefault="00D5777C" w:rsidP="0078704F">
            <w:pPr>
              <w:contextualSpacing/>
              <w:rPr>
                <w:lang w:val="uk-UA"/>
              </w:rPr>
            </w:pPr>
          </w:p>
          <w:p w:rsidR="00D5777C" w:rsidRPr="0078704F" w:rsidRDefault="00D5777C" w:rsidP="0078704F">
            <w:pPr>
              <w:contextualSpacing/>
              <w:rPr>
                <w:lang w:val="uk-UA"/>
              </w:rPr>
            </w:pPr>
            <w:r w:rsidRPr="0078704F">
              <w:rPr>
                <w:shd w:val="clear" w:color="auto" w:fill="FFFFFF"/>
                <w:lang w:val="uk-UA"/>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w:t>
            </w:r>
          </w:p>
        </w:tc>
        <w:tc>
          <w:tcPr>
            <w:tcW w:w="6823" w:type="dxa"/>
          </w:tcPr>
          <w:p w:rsidR="00D5777C" w:rsidRPr="0078704F" w:rsidRDefault="00D5777C" w:rsidP="0078704F">
            <w:pPr>
              <w:keepNext/>
              <w:ind w:left="43" w:firstLine="142"/>
              <w:contextualSpacing/>
              <w:rPr>
                <w:snapToGrid w:val="0"/>
                <w:lang w:val="uk-UA"/>
              </w:rPr>
            </w:pPr>
            <w:r>
              <w:rPr>
                <w:b/>
                <w:snapToGrid w:val="0"/>
                <w:lang w:val="uk-UA"/>
              </w:rPr>
              <w:t>09 грудня</w:t>
            </w:r>
            <w:r w:rsidRPr="0078704F">
              <w:rPr>
                <w:b/>
                <w:snapToGrid w:val="0"/>
                <w:lang w:val="uk-UA"/>
              </w:rPr>
              <w:t xml:space="preserve"> 2021 року 10 годин 00</w:t>
            </w:r>
            <w:r w:rsidRPr="0078704F">
              <w:rPr>
                <w:snapToGrid w:val="0"/>
                <w:lang w:val="uk-UA"/>
              </w:rPr>
              <w:t xml:space="preserve"> </w:t>
            </w:r>
            <w:r w:rsidRPr="0078704F">
              <w:rPr>
                <w:b/>
                <w:snapToGrid w:val="0"/>
                <w:lang w:val="uk-UA"/>
              </w:rPr>
              <w:t>хвилин</w:t>
            </w:r>
            <w:r w:rsidRPr="0078704F">
              <w:rPr>
                <w:snapToGrid w:val="0"/>
                <w:lang w:val="uk-UA"/>
              </w:rPr>
              <w:t xml:space="preserve"> </w:t>
            </w:r>
          </w:p>
          <w:p w:rsidR="00D5777C" w:rsidRPr="0078704F" w:rsidRDefault="00D5777C" w:rsidP="0078704F">
            <w:pPr>
              <w:keepNext/>
              <w:ind w:left="43" w:firstLine="142"/>
              <w:contextualSpacing/>
              <w:rPr>
                <w:snapToGrid w:val="0"/>
                <w:lang w:val="uk-UA"/>
              </w:rPr>
            </w:pPr>
          </w:p>
          <w:p w:rsidR="00D5777C" w:rsidRPr="0078704F" w:rsidRDefault="00D5777C" w:rsidP="0078704F">
            <w:pPr>
              <w:keepNext/>
              <w:ind w:left="43" w:firstLine="142"/>
              <w:contextualSpacing/>
              <w:rPr>
                <w:snapToGrid w:val="0"/>
                <w:lang w:val="uk-UA"/>
              </w:rPr>
            </w:pPr>
          </w:p>
          <w:p w:rsidR="00D5777C" w:rsidRPr="0078704F" w:rsidRDefault="00D5777C" w:rsidP="0078704F">
            <w:pPr>
              <w:keepNext/>
              <w:ind w:left="43" w:firstLine="142"/>
              <w:contextualSpacing/>
              <w:rPr>
                <w:snapToGrid w:val="0"/>
                <w:lang w:val="uk-UA"/>
              </w:rPr>
            </w:pPr>
            <w:r w:rsidRPr="0078704F">
              <w:rPr>
                <w:snapToGrid w:val="0"/>
                <w:lang w:val="uk-UA"/>
              </w:rPr>
              <w:t>проведення тестування дистанційно</w:t>
            </w:r>
          </w:p>
          <w:p w:rsidR="00D5777C" w:rsidRPr="0078704F" w:rsidRDefault="00D5777C" w:rsidP="0078704F">
            <w:pPr>
              <w:keepNext/>
              <w:ind w:left="43" w:firstLine="142"/>
              <w:contextualSpacing/>
              <w:rPr>
                <w:snapToGrid w:val="0"/>
                <w:lang w:val="uk-UA"/>
              </w:rPr>
            </w:pPr>
          </w:p>
          <w:p w:rsidR="00D5777C" w:rsidRPr="0078704F" w:rsidRDefault="00D5777C" w:rsidP="0078704F">
            <w:pPr>
              <w:keepNext/>
              <w:ind w:left="43" w:firstLine="142"/>
              <w:contextualSpacing/>
              <w:rPr>
                <w:snapToGrid w:val="0"/>
                <w:lang w:val="uk-UA"/>
              </w:rPr>
            </w:pPr>
          </w:p>
          <w:p w:rsidR="00D5777C" w:rsidRPr="0078704F" w:rsidRDefault="00D5777C" w:rsidP="0078704F">
            <w:pPr>
              <w:keepNext/>
              <w:ind w:left="43" w:firstLine="142"/>
              <w:contextualSpacing/>
              <w:rPr>
                <w:snapToGrid w:val="0"/>
                <w:lang w:val="uk-UA"/>
              </w:rPr>
            </w:pPr>
            <w:r w:rsidRPr="0078704F">
              <w:rPr>
                <w:snapToGrid w:val="0"/>
                <w:lang w:val="uk-UA"/>
              </w:rPr>
              <w:t>м. Київ, вул. Лаврська, 10</w:t>
            </w:r>
          </w:p>
          <w:p w:rsidR="00D5777C" w:rsidRPr="0078704F" w:rsidRDefault="00D5777C" w:rsidP="0078704F">
            <w:pPr>
              <w:keepNext/>
              <w:ind w:left="43" w:firstLine="142"/>
              <w:contextualSpacing/>
              <w:rPr>
                <w:snapToGrid w:val="0"/>
                <w:lang w:val="uk-UA"/>
              </w:rPr>
            </w:pPr>
            <w:r w:rsidRPr="0078704F">
              <w:rPr>
                <w:snapToGrid w:val="0"/>
                <w:lang w:val="uk-UA"/>
              </w:rPr>
              <w:t>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протиепідемічних заходів на період дії карантину у зв’язку з поширенням коронавірусної хвороби</w:t>
            </w:r>
          </w:p>
          <w:p w:rsidR="00D5777C" w:rsidRPr="0078704F" w:rsidRDefault="00D5777C" w:rsidP="0078704F">
            <w:pPr>
              <w:keepNext/>
              <w:ind w:left="43" w:firstLine="142"/>
              <w:contextualSpacing/>
              <w:rPr>
                <w:snapToGrid w:val="0"/>
                <w:lang w:val="uk-UA"/>
              </w:rPr>
            </w:pPr>
          </w:p>
          <w:p w:rsidR="00D5777C" w:rsidRPr="0078704F" w:rsidRDefault="00D5777C" w:rsidP="0078704F">
            <w:pPr>
              <w:keepNext/>
              <w:ind w:left="43" w:firstLine="142"/>
              <w:contextualSpacing/>
              <w:rPr>
                <w:snapToGrid w:val="0"/>
                <w:lang w:val="uk-UA"/>
              </w:rPr>
            </w:pPr>
            <w:r w:rsidRPr="0078704F">
              <w:rPr>
                <w:snapToGrid w:val="0"/>
                <w:lang w:val="uk-UA"/>
              </w:rPr>
              <w:t>м. Київ, вул. Лаврська, 10</w:t>
            </w:r>
          </w:p>
          <w:p w:rsidR="00D5777C" w:rsidRPr="0078704F" w:rsidRDefault="00D5777C" w:rsidP="0078704F">
            <w:pPr>
              <w:keepNext/>
              <w:ind w:left="43" w:firstLine="142"/>
              <w:contextualSpacing/>
              <w:rPr>
                <w:snapToGrid w:val="0"/>
                <w:lang w:val="uk-UA"/>
              </w:rPr>
            </w:pPr>
            <w:r w:rsidRPr="0078704F">
              <w:rPr>
                <w:snapToGrid w:val="0"/>
                <w:lang w:val="uk-UA"/>
              </w:rPr>
              <w:t>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протиепідемічних заходів на період дії карантину у зв’язку з поширенням коронавірусної хвороби</w:t>
            </w:r>
          </w:p>
        </w:tc>
      </w:tr>
      <w:tr w:rsidR="00D5777C" w:rsidRPr="0078704F" w:rsidTr="005A158B">
        <w:trPr>
          <w:trHeight w:val="1399"/>
        </w:trPr>
        <w:tc>
          <w:tcPr>
            <w:tcW w:w="2825" w:type="dxa"/>
            <w:gridSpan w:val="2"/>
            <w:vAlign w:val="center"/>
          </w:tcPr>
          <w:p w:rsidR="00D5777C" w:rsidRPr="0078704F" w:rsidRDefault="00D5777C" w:rsidP="0078704F">
            <w:pPr>
              <w:keepNext/>
              <w:contextualSpacing/>
              <w:rPr>
                <w:snapToGrid w:val="0"/>
                <w:lang w:val="uk-UA"/>
              </w:rPr>
            </w:pPr>
            <w:r w:rsidRPr="0078704F">
              <w:rPr>
                <w:snapToGrid w:val="0"/>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23" w:type="dxa"/>
            <w:vAlign w:val="center"/>
          </w:tcPr>
          <w:p w:rsidR="00D5777C" w:rsidRPr="0078704F" w:rsidRDefault="00D5777C" w:rsidP="0078704F">
            <w:pPr>
              <w:keepNext/>
              <w:ind w:left="43" w:firstLine="142"/>
              <w:contextualSpacing/>
              <w:rPr>
                <w:snapToGrid w:val="0"/>
                <w:lang w:val="uk-UA"/>
              </w:rPr>
            </w:pPr>
            <w:r w:rsidRPr="0078704F">
              <w:rPr>
                <w:snapToGrid w:val="0"/>
                <w:lang w:val="uk-UA"/>
              </w:rPr>
              <w:t xml:space="preserve">Кондратенко Анна Олегівна, </w:t>
            </w:r>
          </w:p>
          <w:p w:rsidR="00D5777C" w:rsidRPr="0078704F" w:rsidRDefault="00D5777C" w:rsidP="0078704F">
            <w:pPr>
              <w:keepNext/>
              <w:ind w:left="43" w:firstLine="142"/>
              <w:contextualSpacing/>
              <w:rPr>
                <w:snapToGrid w:val="0"/>
                <w:lang w:val="uk-UA"/>
              </w:rPr>
            </w:pPr>
            <w:r w:rsidRPr="0078704F">
              <w:rPr>
                <w:snapToGrid w:val="0"/>
                <w:lang w:val="uk-UA"/>
              </w:rPr>
              <w:t xml:space="preserve">(044) 280-03-19, </w:t>
            </w:r>
            <w:hyperlink r:id="rId9">
              <w:r w:rsidRPr="0078704F">
                <w:rPr>
                  <w:lang w:val="uk-UA"/>
                </w:rPr>
                <w:t>khizhnyak@usfa.gov.ua</w:t>
              </w:r>
            </w:hyperlink>
          </w:p>
        </w:tc>
      </w:tr>
      <w:tr w:rsidR="00D5777C" w:rsidRPr="0078704F" w:rsidTr="00D10AB6">
        <w:trPr>
          <w:trHeight w:val="415"/>
        </w:trPr>
        <w:tc>
          <w:tcPr>
            <w:tcW w:w="9648" w:type="dxa"/>
            <w:gridSpan w:val="3"/>
            <w:vAlign w:val="center"/>
          </w:tcPr>
          <w:p w:rsidR="00D5777C" w:rsidRPr="0078704F" w:rsidRDefault="00D5777C" w:rsidP="0078704F">
            <w:pPr>
              <w:contextualSpacing/>
              <w:jc w:val="center"/>
              <w:rPr>
                <w:b/>
                <w:lang w:val="uk-UA"/>
              </w:rPr>
            </w:pPr>
            <w:r w:rsidRPr="0078704F">
              <w:rPr>
                <w:b/>
                <w:lang w:val="uk-UA"/>
              </w:rPr>
              <w:t>Кваліфікаційні вимоги</w:t>
            </w:r>
          </w:p>
        </w:tc>
      </w:tr>
      <w:tr w:rsidR="00D5777C" w:rsidRPr="0078704F" w:rsidTr="005A158B">
        <w:tc>
          <w:tcPr>
            <w:tcW w:w="0" w:type="auto"/>
            <w:vAlign w:val="center"/>
          </w:tcPr>
          <w:p w:rsidR="00D5777C" w:rsidRPr="0078704F" w:rsidRDefault="00D5777C" w:rsidP="0078704F">
            <w:pPr>
              <w:keepNext/>
              <w:contextualSpacing/>
              <w:jc w:val="center"/>
              <w:rPr>
                <w:lang w:val="uk-UA"/>
              </w:rPr>
            </w:pPr>
            <w:r w:rsidRPr="0078704F">
              <w:rPr>
                <w:lang w:val="uk-UA"/>
              </w:rPr>
              <w:t>1.</w:t>
            </w:r>
          </w:p>
        </w:tc>
        <w:tc>
          <w:tcPr>
            <w:tcW w:w="2459" w:type="dxa"/>
            <w:vAlign w:val="center"/>
          </w:tcPr>
          <w:p w:rsidR="00D5777C" w:rsidRPr="0078704F" w:rsidRDefault="00D5777C" w:rsidP="0078704F">
            <w:pPr>
              <w:keepNext/>
              <w:contextualSpacing/>
              <w:rPr>
                <w:lang w:val="uk-UA"/>
              </w:rPr>
            </w:pPr>
            <w:r w:rsidRPr="0078704F">
              <w:rPr>
                <w:lang w:val="uk-UA"/>
              </w:rPr>
              <w:t>Освіта</w:t>
            </w:r>
          </w:p>
        </w:tc>
        <w:tc>
          <w:tcPr>
            <w:tcW w:w="6823" w:type="dxa"/>
            <w:vAlign w:val="center"/>
          </w:tcPr>
          <w:p w:rsidR="00D5777C" w:rsidRPr="0078704F" w:rsidRDefault="00D5777C" w:rsidP="0078704F">
            <w:pPr>
              <w:keepNext/>
              <w:ind w:firstLine="175"/>
              <w:contextualSpacing/>
              <w:rPr>
                <w:lang w:val="uk-UA"/>
              </w:rPr>
            </w:pPr>
            <w:r w:rsidRPr="0078704F">
              <w:rPr>
                <w:lang w:val="uk-UA"/>
              </w:rPr>
              <w:t>вища освіта не нижче ступеня молодшого бакалавра</w:t>
            </w:r>
          </w:p>
        </w:tc>
      </w:tr>
      <w:tr w:rsidR="00D5777C" w:rsidRPr="0078704F" w:rsidTr="005A158B">
        <w:tc>
          <w:tcPr>
            <w:tcW w:w="0" w:type="auto"/>
            <w:vAlign w:val="center"/>
          </w:tcPr>
          <w:p w:rsidR="00D5777C" w:rsidRPr="0078704F" w:rsidRDefault="00D5777C" w:rsidP="0078704F">
            <w:pPr>
              <w:keepNext/>
              <w:contextualSpacing/>
              <w:jc w:val="center"/>
              <w:rPr>
                <w:caps/>
                <w:lang w:val="uk-UA"/>
              </w:rPr>
            </w:pPr>
            <w:r w:rsidRPr="0078704F">
              <w:rPr>
                <w:caps/>
                <w:lang w:val="uk-UA"/>
              </w:rPr>
              <w:t>2.</w:t>
            </w:r>
          </w:p>
        </w:tc>
        <w:tc>
          <w:tcPr>
            <w:tcW w:w="2459" w:type="dxa"/>
            <w:vAlign w:val="center"/>
          </w:tcPr>
          <w:p w:rsidR="00D5777C" w:rsidRPr="0078704F" w:rsidRDefault="00D5777C" w:rsidP="0078704F">
            <w:pPr>
              <w:keepNext/>
              <w:contextualSpacing/>
              <w:rPr>
                <w:caps/>
                <w:lang w:val="uk-UA"/>
              </w:rPr>
            </w:pPr>
            <w:r w:rsidRPr="0078704F">
              <w:rPr>
                <w:lang w:val="uk-UA"/>
              </w:rPr>
              <w:t>Досвід роботи</w:t>
            </w:r>
          </w:p>
        </w:tc>
        <w:tc>
          <w:tcPr>
            <w:tcW w:w="6823" w:type="dxa"/>
            <w:vAlign w:val="center"/>
          </w:tcPr>
          <w:p w:rsidR="00D5777C" w:rsidRPr="0078704F" w:rsidRDefault="00D5777C" w:rsidP="0078704F">
            <w:pPr>
              <w:keepNext/>
              <w:ind w:firstLine="175"/>
              <w:contextualSpacing/>
              <w:rPr>
                <w:lang w:val="uk-UA"/>
              </w:rPr>
            </w:pPr>
            <w:r w:rsidRPr="0078704F">
              <w:rPr>
                <w:shd w:val="clear" w:color="auto" w:fill="FFFFFF"/>
                <w:lang w:val="uk-UA"/>
              </w:rPr>
              <w:t>не потребує</w:t>
            </w:r>
          </w:p>
        </w:tc>
      </w:tr>
      <w:tr w:rsidR="00D5777C" w:rsidRPr="0078704F" w:rsidTr="005A158B">
        <w:tc>
          <w:tcPr>
            <w:tcW w:w="0" w:type="auto"/>
            <w:vAlign w:val="center"/>
          </w:tcPr>
          <w:p w:rsidR="00D5777C" w:rsidRPr="0078704F" w:rsidRDefault="00D5777C" w:rsidP="0078704F">
            <w:pPr>
              <w:keepNext/>
              <w:contextualSpacing/>
              <w:jc w:val="center"/>
              <w:rPr>
                <w:caps/>
                <w:lang w:val="uk-UA"/>
              </w:rPr>
            </w:pPr>
            <w:r w:rsidRPr="0078704F">
              <w:rPr>
                <w:caps/>
                <w:lang w:val="uk-UA"/>
              </w:rPr>
              <w:t>3.</w:t>
            </w:r>
          </w:p>
        </w:tc>
        <w:tc>
          <w:tcPr>
            <w:tcW w:w="2459" w:type="dxa"/>
            <w:vAlign w:val="center"/>
          </w:tcPr>
          <w:p w:rsidR="00D5777C" w:rsidRPr="0078704F" w:rsidRDefault="00D5777C" w:rsidP="0078704F">
            <w:pPr>
              <w:keepNext/>
              <w:contextualSpacing/>
              <w:rPr>
                <w:lang w:val="uk-UA"/>
              </w:rPr>
            </w:pPr>
            <w:r w:rsidRPr="0078704F">
              <w:rPr>
                <w:lang w:val="uk-UA"/>
              </w:rPr>
              <w:t>Володіння державною мовою</w:t>
            </w:r>
          </w:p>
        </w:tc>
        <w:tc>
          <w:tcPr>
            <w:tcW w:w="6823" w:type="dxa"/>
            <w:vAlign w:val="center"/>
          </w:tcPr>
          <w:p w:rsidR="00D5777C" w:rsidRPr="0078704F" w:rsidRDefault="00D5777C" w:rsidP="0078704F">
            <w:pPr>
              <w:keepNext/>
              <w:ind w:firstLine="175"/>
              <w:contextualSpacing/>
              <w:rPr>
                <w:lang w:val="uk-UA"/>
              </w:rPr>
            </w:pPr>
            <w:r w:rsidRPr="0078704F">
              <w:rPr>
                <w:lang w:val="uk-UA"/>
              </w:rPr>
              <w:t>вільне володіння державною мовою</w:t>
            </w:r>
          </w:p>
        </w:tc>
      </w:tr>
      <w:tr w:rsidR="00D5777C" w:rsidRPr="0078704F" w:rsidTr="00D10AB6">
        <w:trPr>
          <w:trHeight w:val="380"/>
        </w:trPr>
        <w:tc>
          <w:tcPr>
            <w:tcW w:w="9648" w:type="dxa"/>
            <w:gridSpan w:val="3"/>
            <w:vAlign w:val="center"/>
          </w:tcPr>
          <w:p w:rsidR="00D5777C" w:rsidRPr="0078704F" w:rsidRDefault="00D5777C" w:rsidP="0078704F">
            <w:pPr>
              <w:contextualSpacing/>
              <w:jc w:val="center"/>
              <w:rPr>
                <w:lang w:val="uk-UA"/>
              </w:rPr>
            </w:pPr>
            <w:r w:rsidRPr="0078704F">
              <w:rPr>
                <w:b/>
                <w:lang w:val="uk-UA"/>
              </w:rPr>
              <w:t>Вимоги до компетентності</w:t>
            </w:r>
          </w:p>
        </w:tc>
      </w:tr>
      <w:tr w:rsidR="00D5777C" w:rsidRPr="0078704F" w:rsidTr="005A158B">
        <w:tc>
          <w:tcPr>
            <w:tcW w:w="2825" w:type="dxa"/>
            <w:gridSpan w:val="2"/>
            <w:vAlign w:val="center"/>
          </w:tcPr>
          <w:p w:rsidR="00D5777C" w:rsidRPr="0078704F" w:rsidRDefault="00D5777C" w:rsidP="0078704F">
            <w:pPr>
              <w:pStyle w:val="Heading1"/>
              <w:widowControl w:val="0"/>
              <w:contextualSpacing/>
              <w:jc w:val="center"/>
              <w:rPr>
                <w:sz w:val="20"/>
              </w:rPr>
            </w:pPr>
            <w:r w:rsidRPr="0078704F">
              <w:rPr>
                <w:sz w:val="20"/>
              </w:rPr>
              <w:t>Вимога</w:t>
            </w:r>
          </w:p>
        </w:tc>
        <w:tc>
          <w:tcPr>
            <w:tcW w:w="6823" w:type="dxa"/>
            <w:vAlign w:val="center"/>
          </w:tcPr>
          <w:p w:rsidR="00D5777C" w:rsidRPr="0078704F" w:rsidRDefault="00D5777C" w:rsidP="0078704F">
            <w:pPr>
              <w:keepNext/>
              <w:widowControl w:val="0"/>
              <w:contextualSpacing/>
              <w:jc w:val="center"/>
              <w:rPr>
                <w:lang w:val="uk-UA"/>
              </w:rPr>
            </w:pPr>
            <w:r w:rsidRPr="0078704F">
              <w:rPr>
                <w:lang w:val="uk-UA"/>
              </w:rPr>
              <w:t>Компоненти вимоги</w:t>
            </w:r>
          </w:p>
        </w:tc>
      </w:tr>
      <w:tr w:rsidR="00D5777C" w:rsidRPr="0078704F" w:rsidTr="005A158B">
        <w:tc>
          <w:tcPr>
            <w:tcW w:w="0" w:type="auto"/>
            <w:vAlign w:val="center"/>
          </w:tcPr>
          <w:p w:rsidR="00D5777C" w:rsidRPr="0078704F" w:rsidRDefault="00D5777C" w:rsidP="0078704F">
            <w:pPr>
              <w:keepNext/>
              <w:widowControl w:val="0"/>
              <w:contextualSpacing/>
              <w:rPr>
                <w:caps/>
                <w:lang w:val="uk-UA"/>
              </w:rPr>
            </w:pPr>
            <w:r w:rsidRPr="0078704F">
              <w:rPr>
                <w:lang w:val="uk-UA"/>
              </w:rPr>
              <w:br w:type="page"/>
            </w:r>
            <w:r w:rsidRPr="0078704F">
              <w:rPr>
                <w:lang w:val="uk-UA"/>
              </w:rPr>
              <w:br w:type="page"/>
            </w:r>
            <w:r w:rsidRPr="0078704F">
              <w:rPr>
                <w:caps/>
                <w:lang w:val="uk-UA"/>
              </w:rPr>
              <w:t>1.</w:t>
            </w:r>
          </w:p>
        </w:tc>
        <w:tc>
          <w:tcPr>
            <w:tcW w:w="2459" w:type="dxa"/>
            <w:vAlign w:val="center"/>
          </w:tcPr>
          <w:p w:rsidR="00D5777C" w:rsidRPr="0078704F" w:rsidRDefault="00D5777C" w:rsidP="0078704F">
            <w:pPr>
              <w:keepNext/>
              <w:widowControl w:val="0"/>
              <w:contextualSpacing/>
              <w:rPr>
                <w:lang w:val="uk-UA"/>
              </w:rPr>
            </w:pPr>
            <w:r w:rsidRPr="0078704F">
              <w:rPr>
                <w:lang w:val="uk-UA"/>
              </w:rPr>
              <w:t>Ефективність координації з іншими</w:t>
            </w:r>
          </w:p>
        </w:tc>
        <w:tc>
          <w:tcPr>
            <w:tcW w:w="6823" w:type="dxa"/>
          </w:tcPr>
          <w:p w:rsidR="00D5777C" w:rsidRPr="0078704F" w:rsidRDefault="00D5777C" w:rsidP="0078704F">
            <w:pPr>
              <w:keepNext/>
              <w:widowControl w:val="0"/>
              <w:ind w:firstLine="175"/>
              <w:contextualSpacing/>
              <w:jc w:val="both"/>
              <w:rPr>
                <w:lang w:val="uk-UA"/>
              </w:rPr>
            </w:pPr>
            <w:r w:rsidRPr="0078704F">
              <w:rPr>
                <w:lang w:val="uk-UA"/>
              </w:rPr>
              <w:t>- 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D5777C" w:rsidRPr="0078704F" w:rsidRDefault="00D5777C" w:rsidP="0078704F">
            <w:pPr>
              <w:keepNext/>
              <w:widowControl w:val="0"/>
              <w:ind w:firstLine="175"/>
              <w:contextualSpacing/>
              <w:jc w:val="both"/>
              <w:rPr>
                <w:lang w:val="uk-UA"/>
              </w:rPr>
            </w:pPr>
            <w:r w:rsidRPr="0078704F">
              <w:rPr>
                <w:lang w:val="uk-UA"/>
              </w:rPr>
              <w:t>- уміння конструктивного обміну інформацією, узгодження та упорядкування дій;</w:t>
            </w:r>
          </w:p>
          <w:p w:rsidR="00D5777C" w:rsidRPr="0078704F" w:rsidRDefault="00D5777C" w:rsidP="0078704F">
            <w:pPr>
              <w:contextualSpacing/>
              <w:rPr>
                <w:lang w:val="uk-UA"/>
              </w:rPr>
            </w:pPr>
            <w:r w:rsidRPr="0078704F">
              <w:rPr>
                <w:lang w:val="uk-UA"/>
              </w:rPr>
              <w:t>- здатність до об’єднання та систематизації спільних зусиль</w:t>
            </w:r>
          </w:p>
        </w:tc>
      </w:tr>
      <w:tr w:rsidR="00D5777C" w:rsidRPr="0078704F" w:rsidTr="005A158B">
        <w:tc>
          <w:tcPr>
            <w:tcW w:w="0" w:type="auto"/>
            <w:vAlign w:val="center"/>
          </w:tcPr>
          <w:p w:rsidR="00D5777C" w:rsidRPr="0078704F" w:rsidRDefault="00D5777C" w:rsidP="0078704F">
            <w:pPr>
              <w:contextualSpacing/>
              <w:rPr>
                <w:lang w:val="uk-UA"/>
              </w:rPr>
            </w:pPr>
            <w:r w:rsidRPr="0078704F">
              <w:rPr>
                <w:lang w:val="uk-UA"/>
              </w:rPr>
              <w:t>2.</w:t>
            </w:r>
          </w:p>
        </w:tc>
        <w:tc>
          <w:tcPr>
            <w:tcW w:w="2459" w:type="dxa"/>
            <w:vAlign w:val="center"/>
          </w:tcPr>
          <w:p w:rsidR="00D5777C" w:rsidRPr="0078704F" w:rsidRDefault="00D5777C" w:rsidP="0078704F">
            <w:pPr>
              <w:keepNext/>
              <w:widowControl w:val="0"/>
              <w:contextualSpacing/>
              <w:rPr>
                <w:lang w:val="uk-UA"/>
              </w:rPr>
            </w:pPr>
            <w:r w:rsidRPr="0078704F">
              <w:rPr>
                <w:lang w:val="uk-UA"/>
              </w:rPr>
              <w:t>Аналітичні здібності</w:t>
            </w:r>
          </w:p>
        </w:tc>
        <w:tc>
          <w:tcPr>
            <w:tcW w:w="6823" w:type="dxa"/>
          </w:tcPr>
          <w:p w:rsidR="00D5777C" w:rsidRPr="0078704F" w:rsidRDefault="00D5777C" w:rsidP="0078704F">
            <w:pPr>
              <w:keepNext/>
              <w:widowControl w:val="0"/>
              <w:ind w:firstLine="147"/>
              <w:contextualSpacing/>
              <w:jc w:val="both"/>
              <w:rPr>
                <w:lang w:val="uk-UA"/>
              </w:rPr>
            </w:pPr>
            <w:r w:rsidRPr="0078704F">
              <w:rPr>
                <w:lang w:val="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D5777C" w:rsidRPr="0078704F" w:rsidRDefault="00D5777C" w:rsidP="0078704F">
            <w:pPr>
              <w:keepNext/>
              <w:widowControl w:val="0"/>
              <w:ind w:firstLine="147"/>
              <w:contextualSpacing/>
              <w:jc w:val="both"/>
              <w:rPr>
                <w:lang w:val="uk-UA"/>
              </w:rPr>
            </w:pPr>
            <w:r w:rsidRPr="0078704F">
              <w:rPr>
                <w:lang w:val="uk-UA"/>
              </w:rPr>
              <w:t>- вміння встановлювати причинно-наслідкові зв’язки;</w:t>
            </w:r>
          </w:p>
          <w:p w:rsidR="00D5777C" w:rsidRPr="0078704F" w:rsidRDefault="00D5777C" w:rsidP="0078704F">
            <w:pPr>
              <w:keepNext/>
              <w:widowControl w:val="0"/>
              <w:ind w:firstLine="175"/>
              <w:contextualSpacing/>
              <w:jc w:val="both"/>
              <w:rPr>
                <w:lang w:val="uk-UA"/>
              </w:rPr>
            </w:pPr>
            <w:r w:rsidRPr="0078704F">
              <w:rPr>
                <w:lang w:val="uk-UA"/>
              </w:rPr>
              <w:t>- вміння аналізувати інформацію та робити висновки, критично оцінювати ситуацію, прогнозувати та робити власні умовиводи</w:t>
            </w:r>
          </w:p>
        </w:tc>
      </w:tr>
      <w:tr w:rsidR="00D5777C" w:rsidRPr="0078704F" w:rsidTr="005A158B">
        <w:tc>
          <w:tcPr>
            <w:tcW w:w="0" w:type="auto"/>
            <w:vAlign w:val="center"/>
          </w:tcPr>
          <w:p w:rsidR="00D5777C" w:rsidRPr="0078704F" w:rsidRDefault="00D5777C" w:rsidP="0078704F">
            <w:pPr>
              <w:contextualSpacing/>
              <w:rPr>
                <w:lang w:val="uk-UA"/>
              </w:rPr>
            </w:pPr>
            <w:r w:rsidRPr="0078704F">
              <w:rPr>
                <w:lang w:val="uk-UA"/>
              </w:rPr>
              <w:t>3.</w:t>
            </w:r>
          </w:p>
        </w:tc>
        <w:tc>
          <w:tcPr>
            <w:tcW w:w="2459" w:type="dxa"/>
            <w:vAlign w:val="center"/>
          </w:tcPr>
          <w:p w:rsidR="00D5777C" w:rsidRPr="0078704F" w:rsidRDefault="00D5777C" w:rsidP="0078704F">
            <w:pPr>
              <w:keepNext/>
              <w:widowControl w:val="0"/>
              <w:contextualSpacing/>
              <w:rPr>
                <w:lang w:val="uk-UA"/>
              </w:rPr>
            </w:pPr>
            <w:r w:rsidRPr="0078704F">
              <w:rPr>
                <w:lang w:val="uk-UA"/>
              </w:rPr>
              <w:t>Самоорганізація та самостійність в роботі</w:t>
            </w:r>
          </w:p>
        </w:tc>
        <w:tc>
          <w:tcPr>
            <w:tcW w:w="6823" w:type="dxa"/>
          </w:tcPr>
          <w:p w:rsidR="00D5777C" w:rsidRPr="0078704F" w:rsidRDefault="00D5777C" w:rsidP="0078704F">
            <w:pPr>
              <w:keepNext/>
              <w:widowControl w:val="0"/>
              <w:tabs>
                <w:tab w:val="left" w:pos="33"/>
                <w:tab w:val="left" w:pos="466"/>
              </w:tabs>
              <w:ind w:firstLine="175"/>
              <w:contextualSpacing/>
              <w:jc w:val="both"/>
              <w:rPr>
                <w:lang w:val="uk-UA"/>
              </w:rPr>
            </w:pPr>
            <w:r w:rsidRPr="0078704F">
              <w:rPr>
                <w:lang w:val="uk-UA"/>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rsidR="00D5777C" w:rsidRPr="0078704F" w:rsidRDefault="00D5777C" w:rsidP="0078704F">
            <w:pPr>
              <w:keepNext/>
              <w:widowControl w:val="0"/>
              <w:tabs>
                <w:tab w:val="left" w:pos="33"/>
                <w:tab w:val="left" w:pos="466"/>
              </w:tabs>
              <w:ind w:firstLine="175"/>
              <w:contextualSpacing/>
              <w:jc w:val="both"/>
              <w:rPr>
                <w:lang w:val="uk-UA"/>
              </w:rPr>
            </w:pPr>
            <w:r w:rsidRPr="0078704F">
              <w:rPr>
                <w:lang w:val="uk-UA"/>
              </w:rPr>
              <w:t>- здатність до само мотивації (самоуправління);</w:t>
            </w:r>
          </w:p>
          <w:p w:rsidR="00D5777C" w:rsidRPr="0078704F" w:rsidRDefault="00D5777C" w:rsidP="0078704F">
            <w:pPr>
              <w:keepNext/>
              <w:widowControl w:val="0"/>
              <w:tabs>
                <w:tab w:val="left" w:pos="33"/>
                <w:tab w:val="left" w:pos="466"/>
              </w:tabs>
              <w:ind w:firstLine="175"/>
              <w:contextualSpacing/>
              <w:jc w:val="both"/>
              <w:rPr>
                <w:lang w:val="uk-UA"/>
              </w:rPr>
            </w:pPr>
            <w:r w:rsidRPr="0078704F">
              <w:rPr>
                <w:lang w:val="uk-UA"/>
              </w:rPr>
              <w:t>- вміння самостійно приймати рішення і виконувати завдання у процесі професійної діяльності</w:t>
            </w:r>
          </w:p>
        </w:tc>
      </w:tr>
      <w:tr w:rsidR="00D5777C" w:rsidRPr="0078704F" w:rsidTr="005A158B">
        <w:tc>
          <w:tcPr>
            <w:tcW w:w="0" w:type="auto"/>
            <w:vAlign w:val="center"/>
          </w:tcPr>
          <w:p w:rsidR="00D5777C" w:rsidRPr="0078704F" w:rsidRDefault="00D5777C" w:rsidP="0078704F">
            <w:pPr>
              <w:contextualSpacing/>
              <w:rPr>
                <w:lang w:val="uk-UA"/>
              </w:rPr>
            </w:pPr>
            <w:r w:rsidRPr="0078704F">
              <w:rPr>
                <w:lang w:val="uk-UA"/>
              </w:rPr>
              <w:t>4.</w:t>
            </w:r>
          </w:p>
        </w:tc>
        <w:tc>
          <w:tcPr>
            <w:tcW w:w="2459" w:type="dxa"/>
            <w:vAlign w:val="center"/>
          </w:tcPr>
          <w:p w:rsidR="00D5777C" w:rsidRPr="0078704F" w:rsidRDefault="00D5777C" w:rsidP="0078704F">
            <w:pPr>
              <w:keepNext/>
              <w:widowControl w:val="0"/>
              <w:contextualSpacing/>
              <w:rPr>
                <w:lang w:val="uk-UA"/>
              </w:rPr>
            </w:pPr>
            <w:r w:rsidRPr="0078704F">
              <w:rPr>
                <w:lang w:val="uk-UA"/>
              </w:rPr>
              <w:t>Уважність до деталей</w:t>
            </w:r>
          </w:p>
        </w:tc>
        <w:tc>
          <w:tcPr>
            <w:tcW w:w="6823" w:type="dxa"/>
          </w:tcPr>
          <w:p w:rsidR="00D5777C" w:rsidRPr="0078704F" w:rsidRDefault="00D5777C" w:rsidP="0078704F">
            <w:pPr>
              <w:keepNext/>
              <w:widowControl w:val="0"/>
              <w:tabs>
                <w:tab w:val="left" w:pos="33"/>
                <w:tab w:val="left" w:pos="466"/>
              </w:tabs>
              <w:ind w:firstLine="175"/>
              <w:contextualSpacing/>
              <w:jc w:val="both"/>
              <w:rPr>
                <w:lang w:val="uk-UA"/>
              </w:rPr>
            </w:pPr>
            <w:r w:rsidRPr="0078704F">
              <w:rPr>
                <w:lang w:val="uk-UA"/>
              </w:rPr>
              <w:t>- здатність помічати окремі елементи та акцентувати увагу на деталях у своїй роботі;</w:t>
            </w:r>
          </w:p>
          <w:p w:rsidR="00D5777C" w:rsidRPr="0078704F" w:rsidRDefault="00D5777C" w:rsidP="0078704F">
            <w:pPr>
              <w:keepNext/>
              <w:widowControl w:val="0"/>
              <w:tabs>
                <w:tab w:val="left" w:pos="33"/>
                <w:tab w:val="left" w:pos="466"/>
              </w:tabs>
              <w:ind w:firstLine="175"/>
              <w:contextualSpacing/>
              <w:jc w:val="both"/>
              <w:rPr>
                <w:lang w:val="uk-UA"/>
              </w:rPr>
            </w:pPr>
            <w:r w:rsidRPr="0078704F">
              <w:rPr>
                <w:lang w:val="uk-UA"/>
              </w:rPr>
              <w:t>- здатність враховувати деталі при прийнятті рішень</w:t>
            </w:r>
          </w:p>
        </w:tc>
      </w:tr>
      <w:tr w:rsidR="00D5777C" w:rsidRPr="0078704F" w:rsidTr="005A158B">
        <w:tc>
          <w:tcPr>
            <w:tcW w:w="0" w:type="auto"/>
            <w:vAlign w:val="center"/>
          </w:tcPr>
          <w:p w:rsidR="00D5777C" w:rsidRPr="0078704F" w:rsidRDefault="00D5777C" w:rsidP="0078704F">
            <w:pPr>
              <w:contextualSpacing/>
              <w:rPr>
                <w:lang w:val="uk-UA"/>
              </w:rPr>
            </w:pPr>
            <w:r w:rsidRPr="0078704F">
              <w:rPr>
                <w:lang w:val="uk-UA"/>
              </w:rPr>
              <w:t>5.</w:t>
            </w:r>
          </w:p>
        </w:tc>
        <w:tc>
          <w:tcPr>
            <w:tcW w:w="2459" w:type="dxa"/>
            <w:vAlign w:val="center"/>
          </w:tcPr>
          <w:p w:rsidR="00D5777C" w:rsidRPr="0078704F" w:rsidRDefault="00D5777C" w:rsidP="0078704F">
            <w:pPr>
              <w:keepNext/>
              <w:widowControl w:val="0"/>
              <w:contextualSpacing/>
              <w:rPr>
                <w:lang w:val="uk-UA"/>
              </w:rPr>
            </w:pPr>
            <w:r w:rsidRPr="0078704F">
              <w:rPr>
                <w:lang w:val="uk-UA"/>
              </w:rPr>
              <w:t>Відповідальність</w:t>
            </w:r>
          </w:p>
        </w:tc>
        <w:tc>
          <w:tcPr>
            <w:tcW w:w="6823" w:type="dxa"/>
          </w:tcPr>
          <w:p w:rsidR="00D5777C" w:rsidRPr="0078704F" w:rsidRDefault="00D5777C" w:rsidP="0078704F">
            <w:pPr>
              <w:keepNext/>
              <w:widowControl w:val="0"/>
              <w:numPr>
                <w:ilvl w:val="0"/>
                <w:numId w:val="1"/>
              </w:numPr>
              <w:tabs>
                <w:tab w:val="left" w:pos="33"/>
                <w:tab w:val="left" w:pos="466"/>
              </w:tabs>
              <w:ind w:left="0" w:firstLine="175"/>
              <w:contextualSpacing/>
              <w:jc w:val="both"/>
              <w:rPr>
                <w:lang w:val="uk-UA"/>
              </w:rPr>
            </w:pPr>
            <w:r w:rsidRPr="0078704F">
              <w:rPr>
                <w:lang w:val="uk-UA"/>
              </w:rPr>
              <w:t>усвідомлення важливості якісного виконання своїх посадових обов’язків з дотриманням строків та встановлених процедур;</w:t>
            </w:r>
          </w:p>
          <w:p w:rsidR="00D5777C" w:rsidRPr="0078704F" w:rsidRDefault="00D5777C" w:rsidP="0078704F">
            <w:pPr>
              <w:keepNext/>
              <w:widowControl w:val="0"/>
              <w:numPr>
                <w:ilvl w:val="0"/>
                <w:numId w:val="1"/>
              </w:numPr>
              <w:tabs>
                <w:tab w:val="left" w:pos="33"/>
                <w:tab w:val="left" w:pos="466"/>
              </w:tabs>
              <w:ind w:left="0" w:firstLine="175"/>
              <w:contextualSpacing/>
              <w:jc w:val="both"/>
              <w:rPr>
                <w:lang w:val="uk-UA"/>
              </w:rPr>
            </w:pPr>
            <w:r w:rsidRPr="0078704F">
              <w:rPr>
                <w:lang w:val="uk-UA"/>
              </w:rPr>
              <w:t>усвідомлення рівня відповідальності під час підготовки і прийняття рішень, готовності нести відповідальність за можливі наслідки реалізації таких рішень;</w:t>
            </w:r>
          </w:p>
          <w:p w:rsidR="00D5777C" w:rsidRPr="0078704F" w:rsidRDefault="00D5777C" w:rsidP="0078704F">
            <w:pPr>
              <w:keepNext/>
              <w:widowControl w:val="0"/>
              <w:tabs>
                <w:tab w:val="left" w:pos="33"/>
                <w:tab w:val="left" w:pos="466"/>
              </w:tabs>
              <w:ind w:firstLine="175"/>
              <w:contextualSpacing/>
              <w:jc w:val="both"/>
              <w:rPr>
                <w:lang w:val="uk-UA"/>
              </w:rPr>
            </w:pPr>
            <w:r w:rsidRPr="0078704F">
              <w:rPr>
                <w:lang w:val="uk-UA"/>
              </w:rPr>
              <w:t>- здатність брати на себе зобов’язання, чітко їх дотримуватись і виконувати</w:t>
            </w:r>
          </w:p>
        </w:tc>
      </w:tr>
      <w:tr w:rsidR="00D5777C" w:rsidRPr="0078704F" w:rsidTr="00D10AB6">
        <w:trPr>
          <w:trHeight w:val="400"/>
        </w:trPr>
        <w:tc>
          <w:tcPr>
            <w:tcW w:w="9648" w:type="dxa"/>
            <w:gridSpan w:val="3"/>
            <w:vAlign w:val="center"/>
          </w:tcPr>
          <w:p w:rsidR="00D5777C" w:rsidRPr="0078704F" w:rsidRDefault="00D5777C" w:rsidP="0078704F">
            <w:pPr>
              <w:contextualSpacing/>
              <w:jc w:val="center"/>
              <w:rPr>
                <w:lang w:val="uk-UA"/>
              </w:rPr>
            </w:pPr>
            <w:r w:rsidRPr="0078704F">
              <w:rPr>
                <w:b/>
                <w:lang w:val="uk-UA"/>
              </w:rPr>
              <w:t>Професійні знання</w:t>
            </w:r>
          </w:p>
        </w:tc>
      </w:tr>
      <w:tr w:rsidR="00D5777C" w:rsidRPr="0078704F" w:rsidTr="005A158B">
        <w:trPr>
          <w:trHeight w:val="298"/>
        </w:trPr>
        <w:tc>
          <w:tcPr>
            <w:tcW w:w="2825" w:type="dxa"/>
            <w:gridSpan w:val="2"/>
            <w:vAlign w:val="center"/>
          </w:tcPr>
          <w:p w:rsidR="00D5777C" w:rsidRPr="0078704F" w:rsidRDefault="00D5777C" w:rsidP="0078704F">
            <w:pPr>
              <w:pStyle w:val="Heading1"/>
              <w:widowControl w:val="0"/>
              <w:contextualSpacing/>
              <w:jc w:val="center"/>
              <w:rPr>
                <w:sz w:val="20"/>
              </w:rPr>
            </w:pPr>
            <w:r w:rsidRPr="0078704F">
              <w:rPr>
                <w:sz w:val="20"/>
              </w:rPr>
              <w:t>Вимога</w:t>
            </w:r>
          </w:p>
        </w:tc>
        <w:tc>
          <w:tcPr>
            <w:tcW w:w="6823" w:type="dxa"/>
            <w:vAlign w:val="center"/>
          </w:tcPr>
          <w:p w:rsidR="00D5777C" w:rsidRPr="0078704F" w:rsidRDefault="00D5777C" w:rsidP="0078704F">
            <w:pPr>
              <w:keepNext/>
              <w:widowControl w:val="0"/>
              <w:contextualSpacing/>
              <w:jc w:val="center"/>
              <w:rPr>
                <w:lang w:val="uk-UA"/>
              </w:rPr>
            </w:pPr>
            <w:r w:rsidRPr="0078704F">
              <w:rPr>
                <w:lang w:val="uk-UA"/>
              </w:rPr>
              <w:t>Компоненти вимоги</w:t>
            </w:r>
          </w:p>
        </w:tc>
      </w:tr>
      <w:tr w:rsidR="00D5777C" w:rsidRPr="0078704F" w:rsidTr="005A158B">
        <w:tc>
          <w:tcPr>
            <w:tcW w:w="0" w:type="auto"/>
            <w:vAlign w:val="center"/>
          </w:tcPr>
          <w:p w:rsidR="00D5777C" w:rsidRPr="0078704F" w:rsidRDefault="00D5777C" w:rsidP="0078704F">
            <w:pPr>
              <w:contextualSpacing/>
              <w:rPr>
                <w:lang w:val="uk-UA"/>
              </w:rPr>
            </w:pPr>
            <w:r w:rsidRPr="0078704F">
              <w:rPr>
                <w:lang w:val="uk-UA"/>
              </w:rPr>
              <w:t>1.</w:t>
            </w:r>
          </w:p>
        </w:tc>
        <w:tc>
          <w:tcPr>
            <w:tcW w:w="2459" w:type="dxa"/>
            <w:vAlign w:val="center"/>
          </w:tcPr>
          <w:p w:rsidR="00D5777C" w:rsidRPr="0078704F" w:rsidRDefault="00D5777C" w:rsidP="0078704F">
            <w:pPr>
              <w:widowControl w:val="0"/>
              <w:contextualSpacing/>
              <w:rPr>
                <w:lang w:val="uk-UA"/>
              </w:rPr>
            </w:pPr>
            <w:r w:rsidRPr="0078704F">
              <w:rPr>
                <w:lang w:val="uk-UA"/>
              </w:rPr>
              <w:t>Знання законодавства</w:t>
            </w:r>
          </w:p>
        </w:tc>
        <w:tc>
          <w:tcPr>
            <w:tcW w:w="6823" w:type="dxa"/>
          </w:tcPr>
          <w:p w:rsidR="00D5777C" w:rsidRPr="0078704F" w:rsidRDefault="00D5777C" w:rsidP="0078704F">
            <w:pPr>
              <w:widowControl w:val="0"/>
              <w:ind w:firstLine="175"/>
              <w:contextualSpacing/>
              <w:jc w:val="both"/>
              <w:rPr>
                <w:lang w:val="uk-UA"/>
              </w:rPr>
            </w:pPr>
            <w:r w:rsidRPr="0078704F">
              <w:rPr>
                <w:lang w:val="uk-UA"/>
              </w:rPr>
              <w:t>знання Конституції України, Закону України «Про державну службу», Закону України «Про запобігання корупції»</w:t>
            </w:r>
          </w:p>
        </w:tc>
      </w:tr>
      <w:tr w:rsidR="00D5777C" w:rsidRPr="002B6F29" w:rsidTr="005A158B">
        <w:tc>
          <w:tcPr>
            <w:tcW w:w="0" w:type="auto"/>
            <w:vAlign w:val="center"/>
          </w:tcPr>
          <w:p w:rsidR="00D5777C" w:rsidRPr="0078704F" w:rsidRDefault="00D5777C" w:rsidP="0078704F">
            <w:pPr>
              <w:contextualSpacing/>
              <w:rPr>
                <w:lang w:val="uk-UA"/>
              </w:rPr>
            </w:pPr>
            <w:r w:rsidRPr="0078704F">
              <w:rPr>
                <w:lang w:val="uk-UA"/>
              </w:rPr>
              <w:t>2.</w:t>
            </w:r>
          </w:p>
        </w:tc>
        <w:tc>
          <w:tcPr>
            <w:tcW w:w="2459" w:type="dxa"/>
            <w:vAlign w:val="center"/>
          </w:tcPr>
          <w:p w:rsidR="00D5777C" w:rsidRPr="0078704F" w:rsidRDefault="00D5777C" w:rsidP="0078704F">
            <w:pPr>
              <w:widowControl w:val="0"/>
              <w:contextualSpacing/>
              <w:rPr>
                <w:lang w:val="uk-UA"/>
              </w:rPr>
            </w:pPr>
            <w:r w:rsidRPr="0078704F">
              <w:rPr>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D5777C" w:rsidRPr="0078704F" w:rsidRDefault="00D5777C" w:rsidP="0078704F">
            <w:pPr>
              <w:widowControl w:val="0"/>
              <w:contextualSpacing/>
              <w:rPr>
                <w:lang w:val="uk-UA"/>
              </w:rPr>
            </w:pPr>
          </w:p>
        </w:tc>
        <w:tc>
          <w:tcPr>
            <w:tcW w:w="6823" w:type="dxa"/>
          </w:tcPr>
          <w:p w:rsidR="00D5777C" w:rsidRPr="0078704F" w:rsidRDefault="00D5777C" w:rsidP="0078704F">
            <w:pPr>
              <w:widowControl w:val="0"/>
              <w:ind w:firstLine="175"/>
              <w:contextualSpacing/>
              <w:jc w:val="both"/>
              <w:rPr>
                <w:lang w:val="uk-UA"/>
              </w:rPr>
            </w:pPr>
            <w:r w:rsidRPr="0078704F">
              <w:rPr>
                <w:lang w:val="uk-UA"/>
              </w:rPr>
              <w:t>Бюджетний кодекс України;</w:t>
            </w:r>
          </w:p>
          <w:p w:rsidR="00D5777C" w:rsidRPr="0078704F" w:rsidRDefault="00D5777C" w:rsidP="0078704F">
            <w:pPr>
              <w:widowControl w:val="0"/>
              <w:ind w:firstLine="175"/>
              <w:contextualSpacing/>
              <w:jc w:val="both"/>
              <w:rPr>
                <w:bdr w:val="none" w:sz="0" w:space="0" w:color="auto" w:frame="1"/>
                <w:shd w:val="clear" w:color="auto" w:fill="FFFFFF"/>
                <w:lang w:val="uk-UA"/>
              </w:rPr>
            </w:pPr>
            <w:r w:rsidRPr="0078704F">
              <w:rPr>
                <w:lang w:val="uk-UA"/>
              </w:rPr>
              <w:t xml:space="preserve">Закони України «Про державну підтримку кінематографії в Україні», </w:t>
            </w:r>
            <w:r w:rsidRPr="0078704F">
              <w:rPr>
                <w:shd w:val="clear" w:color="auto" w:fill="FFFFFF"/>
                <w:lang w:val="uk-UA"/>
              </w:rPr>
              <w:t>«</w:t>
            </w:r>
            <w:r w:rsidRPr="0078704F">
              <w:rPr>
                <w:bdr w:val="none" w:sz="0" w:space="0" w:color="auto" w:frame="1"/>
                <w:shd w:val="clear" w:color="auto" w:fill="FFFFFF"/>
                <w:lang w:val="uk-UA"/>
              </w:rPr>
              <w:t xml:space="preserve">Про державну допомогу суб’єктам господарювання», </w:t>
            </w:r>
            <w:r w:rsidRPr="0078704F">
              <w:rPr>
                <w:bCs/>
                <w:color w:val="000000"/>
                <w:shd w:val="clear" w:color="auto" w:fill="FFFFFF"/>
                <w:lang w:val="uk-UA" w:eastAsia="uk-UA"/>
              </w:rPr>
              <w:t xml:space="preserve">«Про бухгалтерський облік та фінансову звітність в Україні», </w:t>
            </w:r>
            <w:r w:rsidRPr="0078704F">
              <w:rPr>
                <w:color w:val="000000"/>
                <w:shd w:val="clear" w:color="auto" w:fill="FFFFFF"/>
                <w:lang w:val="uk-UA" w:eastAsia="uk-UA"/>
              </w:rPr>
              <w:t>«Про аудит фінансової звітності та аудиторську діяльність»,</w:t>
            </w:r>
            <w:r w:rsidRPr="0078704F">
              <w:rPr>
                <w:bdr w:val="none" w:sz="0" w:space="0" w:color="auto" w:frame="1"/>
                <w:shd w:val="clear" w:color="auto" w:fill="FFFFFF"/>
                <w:lang w:val="uk-UA"/>
              </w:rPr>
              <w:t xml:space="preserve"> «Про звернення громадян», «Про статус народного депутата», «Про адвокатуру та адвокатську діяльність», «Про доступ до публічної інформації»;</w:t>
            </w:r>
          </w:p>
          <w:p w:rsidR="00D5777C" w:rsidRPr="0078704F" w:rsidRDefault="00D5777C" w:rsidP="0078704F">
            <w:pPr>
              <w:widowControl w:val="0"/>
              <w:ind w:firstLine="175"/>
              <w:contextualSpacing/>
              <w:jc w:val="both"/>
              <w:rPr>
                <w:bdr w:val="none" w:sz="0" w:space="0" w:color="auto" w:frame="1"/>
                <w:shd w:val="clear" w:color="auto" w:fill="FFFFFF"/>
                <w:lang w:val="uk-UA"/>
              </w:rPr>
            </w:pPr>
            <w:r w:rsidRPr="0078704F">
              <w:rPr>
                <w:bdr w:val="none" w:sz="0" w:space="0" w:color="auto" w:frame="1"/>
                <w:shd w:val="clear" w:color="auto" w:fill="FFFFFF"/>
                <w:lang w:val="uk-UA"/>
              </w:rPr>
              <w:t xml:space="preserve">Постанови КМУ від 28.09.2011 № 1001, від </w:t>
            </w:r>
            <w:r w:rsidRPr="0078704F">
              <w:rPr>
                <w:shd w:val="clear" w:color="auto" w:fill="FFFFFF"/>
                <w:lang w:val="uk-UA" w:eastAsia="uk-UA"/>
              </w:rPr>
              <w:t>12.12.2018 № 1062;</w:t>
            </w:r>
          </w:p>
          <w:p w:rsidR="00D5777C" w:rsidRPr="0078704F" w:rsidRDefault="00D5777C" w:rsidP="0078704F">
            <w:pPr>
              <w:ind w:firstLine="175"/>
              <w:contextualSpacing/>
              <w:jc w:val="both"/>
              <w:rPr>
                <w:color w:val="000000"/>
                <w:shd w:val="clear" w:color="auto" w:fill="FFFFFF"/>
                <w:lang w:val="uk-UA" w:eastAsia="uk-UA"/>
              </w:rPr>
            </w:pPr>
            <w:r w:rsidRPr="0078704F">
              <w:rPr>
                <w:color w:val="000000"/>
                <w:shd w:val="clear" w:color="auto" w:fill="FFFFFF"/>
                <w:lang w:val="uk-UA" w:eastAsia="uk-UA"/>
              </w:rPr>
              <w:t>Накази Міністерства фінансів України від 29.09.2011 № 1217, від 04.10.2011 № 1247, від 27.03.2014 № 347.</w:t>
            </w:r>
          </w:p>
          <w:p w:rsidR="00D5777C" w:rsidRPr="0078704F" w:rsidRDefault="00D5777C" w:rsidP="0078704F">
            <w:pPr>
              <w:ind w:firstLine="175"/>
              <w:contextualSpacing/>
              <w:jc w:val="both"/>
              <w:rPr>
                <w:lang w:val="uk-UA"/>
              </w:rPr>
            </w:pPr>
            <w:r w:rsidRPr="0078704F">
              <w:rPr>
                <w:bdr w:val="none" w:sz="0" w:space="0" w:color="auto" w:frame="1"/>
                <w:shd w:val="clear" w:color="auto" w:fill="FFFFFF"/>
                <w:lang w:val="uk-UA"/>
              </w:rPr>
              <w:t>Накази Держкіно від 27.12.2018 №440, від 31.01.2019 №14, від 04.12.2019 №412</w:t>
            </w:r>
          </w:p>
        </w:tc>
      </w:tr>
      <w:tr w:rsidR="00D5777C" w:rsidRPr="0078704F" w:rsidTr="005A158B">
        <w:tc>
          <w:tcPr>
            <w:tcW w:w="0" w:type="auto"/>
            <w:vAlign w:val="center"/>
          </w:tcPr>
          <w:p w:rsidR="00D5777C" w:rsidRPr="0078704F" w:rsidRDefault="00D5777C" w:rsidP="0078704F">
            <w:pPr>
              <w:contextualSpacing/>
              <w:rPr>
                <w:lang w:val="uk-UA"/>
              </w:rPr>
            </w:pPr>
            <w:r w:rsidRPr="0078704F">
              <w:rPr>
                <w:lang w:val="uk-UA"/>
              </w:rPr>
              <w:t>3.</w:t>
            </w:r>
          </w:p>
        </w:tc>
        <w:tc>
          <w:tcPr>
            <w:tcW w:w="2459" w:type="dxa"/>
            <w:vAlign w:val="center"/>
          </w:tcPr>
          <w:p w:rsidR="00D5777C" w:rsidRPr="0078704F" w:rsidRDefault="00D5777C" w:rsidP="0078704F">
            <w:pPr>
              <w:widowControl w:val="0"/>
              <w:contextualSpacing/>
              <w:rPr>
                <w:lang w:val="uk-UA"/>
              </w:rPr>
            </w:pPr>
            <w:r w:rsidRPr="0078704F">
              <w:rPr>
                <w:lang w:val="uk-UA"/>
              </w:rPr>
              <w:t>Професійні чи технічні знання</w:t>
            </w:r>
          </w:p>
        </w:tc>
        <w:tc>
          <w:tcPr>
            <w:tcW w:w="6823" w:type="dxa"/>
          </w:tcPr>
          <w:p w:rsidR="00D5777C" w:rsidRPr="0078704F" w:rsidRDefault="00D5777C" w:rsidP="0078704F">
            <w:pPr>
              <w:widowControl w:val="0"/>
              <w:ind w:firstLine="175"/>
              <w:contextualSpacing/>
              <w:jc w:val="both"/>
              <w:rPr>
                <w:lang w:val="uk-UA"/>
              </w:rPr>
            </w:pPr>
            <w:r w:rsidRPr="0078704F">
              <w:rPr>
                <w:lang w:val="uk-UA"/>
              </w:rPr>
              <w:t>вміння використовувати комп'ютерне обладнання та програмне забезпечення, офісну техніку</w:t>
            </w:r>
          </w:p>
        </w:tc>
      </w:tr>
    </w:tbl>
    <w:p w:rsidR="00D5777C" w:rsidRPr="0078704F" w:rsidRDefault="00D5777C" w:rsidP="0078704F">
      <w:pPr>
        <w:pStyle w:val="21"/>
        <w:tabs>
          <w:tab w:val="left" w:pos="140"/>
        </w:tabs>
        <w:spacing w:line="240" w:lineRule="auto"/>
        <w:jc w:val="both"/>
        <w:rPr>
          <w:shd w:val="clear" w:color="auto" w:fill="FFFFFF"/>
          <w:lang w:val="uk-UA" w:eastAsia="uk-UA"/>
        </w:rPr>
      </w:pPr>
      <w:bookmarkStart w:id="4" w:name="_GoBack"/>
      <w:bookmarkEnd w:id="4"/>
    </w:p>
    <w:sectPr w:rsidR="00D5777C" w:rsidRPr="0078704F" w:rsidSect="00262297">
      <w:headerReference w:type="default" r:id="rId10"/>
      <w:pgSz w:w="11906" w:h="16838"/>
      <w:pgMar w:top="899"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77C" w:rsidRDefault="00D5777C" w:rsidP="00FF2281">
      <w:r>
        <w:separator/>
      </w:r>
    </w:p>
  </w:endnote>
  <w:endnote w:type="continuationSeparator" w:id="0">
    <w:p w:rsidR="00D5777C" w:rsidRDefault="00D5777C" w:rsidP="00FF2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77C" w:rsidRDefault="00D5777C" w:rsidP="00FF2281">
      <w:r>
        <w:separator/>
      </w:r>
    </w:p>
  </w:footnote>
  <w:footnote w:type="continuationSeparator" w:id="0">
    <w:p w:rsidR="00D5777C" w:rsidRDefault="00D5777C" w:rsidP="00FF2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7C" w:rsidRDefault="00D5777C">
    <w:pPr>
      <w:pStyle w:val="Header"/>
      <w:jc w:val="center"/>
    </w:pPr>
    <w:fldSimple w:instr="PAGE   \* MERGEFORMAT">
      <w:r>
        <w:rPr>
          <w:noProof/>
        </w:rPr>
        <w:t>3</w:t>
      </w:r>
    </w:fldSimple>
  </w:p>
  <w:p w:rsidR="00D5777C" w:rsidRDefault="00D577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BB3"/>
    <w:multiLevelType w:val="hybridMultilevel"/>
    <w:tmpl w:val="A5A899F4"/>
    <w:lvl w:ilvl="0" w:tplc="A9B61E5A">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2F2A89"/>
    <w:multiLevelType w:val="hybridMultilevel"/>
    <w:tmpl w:val="CCDA6A4C"/>
    <w:lvl w:ilvl="0" w:tplc="E3C0CE24">
      <w:numFmt w:val="bullet"/>
      <w:lvlText w:val="-"/>
      <w:lvlJc w:val="left"/>
      <w:pPr>
        <w:tabs>
          <w:tab w:val="num" w:pos="553"/>
        </w:tabs>
        <w:ind w:left="553" w:hanging="360"/>
      </w:pPr>
      <w:rPr>
        <w:rFonts w:ascii="Times New Roman" w:eastAsia="Times New Roman" w:hAnsi="Times New Roman" w:hint="default"/>
      </w:rPr>
    </w:lvl>
    <w:lvl w:ilvl="1" w:tplc="04190003" w:tentative="1">
      <w:start w:val="1"/>
      <w:numFmt w:val="bullet"/>
      <w:lvlText w:val="o"/>
      <w:lvlJc w:val="left"/>
      <w:pPr>
        <w:tabs>
          <w:tab w:val="num" w:pos="1273"/>
        </w:tabs>
        <w:ind w:left="1273" w:hanging="360"/>
      </w:pPr>
      <w:rPr>
        <w:rFonts w:ascii="Courier New" w:hAnsi="Courier New" w:hint="default"/>
      </w:rPr>
    </w:lvl>
    <w:lvl w:ilvl="2" w:tplc="04190005" w:tentative="1">
      <w:start w:val="1"/>
      <w:numFmt w:val="bullet"/>
      <w:lvlText w:val=""/>
      <w:lvlJc w:val="left"/>
      <w:pPr>
        <w:tabs>
          <w:tab w:val="num" w:pos="1993"/>
        </w:tabs>
        <w:ind w:left="1993" w:hanging="360"/>
      </w:pPr>
      <w:rPr>
        <w:rFonts w:ascii="Wingdings" w:hAnsi="Wingdings" w:hint="default"/>
      </w:rPr>
    </w:lvl>
    <w:lvl w:ilvl="3" w:tplc="04190001" w:tentative="1">
      <w:start w:val="1"/>
      <w:numFmt w:val="bullet"/>
      <w:lvlText w:val=""/>
      <w:lvlJc w:val="left"/>
      <w:pPr>
        <w:tabs>
          <w:tab w:val="num" w:pos="2713"/>
        </w:tabs>
        <w:ind w:left="2713" w:hanging="360"/>
      </w:pPr>
      <w:rPr>
        <w:rFonts w:ascii="Symbol" w:hAnsi="Symbol" w:hint="default"/>
      </w:rPr>
    </w:lvl>
    <w:lvl w:ilvl="4" w:tplc="04190003" w:tentative="1">
      <w:start w:val="1"/>
      <w:numFmt w:val="bullet"/>
      <w:lvlText w:val="o"/>
      <w:lvlJc w:val="left"/>
      <w:pPr>
        <w:tabs>
          <w:tab w:val="num" w:pos="3433"/>
        </w:tabs>
        <w:ind w:left="3433" w:hanging="360"/>
      </w:pPr>
      <w:rPr>
        <w:rFonts w:ascii="Courier New" w:hAnsi="Courier New" w:hint="default"/>
      </w:rPr>
    </w:lvl>
    <w:lvl w:ilvl="5" w:tplc="04190005" w:tentative="1">
      <w:start w:val="1"/>
      <w:numFmt w:val="bullet"/>
      <w:lvlText w:val=""/>
      <w:lvlJc w:val="left"/>
      <w:pPr>
        <w:tabs>
          <w:tab w:val="num" w:pos="4153"/>
        </w:tabs>
        <w:ind w:left="4153" w:hanging="360"/>
      </w:pPr>
      <w:rPr>
        <w:rFonts w:ascii="Wingdings" w:hAnsi="Wingdings" w:hint="default"/>
      </w:rPr>
    </w:lvl>
    <w:lvl w:ilvl="6" w:tplc="04190001" w:tentative="1">
      <w:start w:val="1"/>
      <w:numFmt w:val="bullet"/>
      <w:lvlText w:val=""/>
      <w:lvlJc w:val="left"/>
      <w:pPr>
        <w:tabs>
          <w:tab w:val="num" w:pos="4873"/>
        </w:tabs>
        <w:ind w:left="4873" w:hanging="360"/>
      </w:pPr>
      <w:rPr>
        <w:rFonts w:ascii="Symbol" w:hAnsi="Symbol" w:hint="default"/>
      </w:rPr>
    </w:lvl>
    <w:lvl w:ilvl="7" w:tplc="04190003" w:tentative="1">
      <w:start w:val="1"/>
      <w:numFmt w:val="bullet"/>
      <w:lvlText w:val="o"/>
      <w:lvlJc w:val="left"/>
      <w:pPr>
        <w:tabs>
          <w:tab w:val="num" w:pos="5593"/>
        </w:tabs>
        <w:ind w:left="5593" w:hanging="360"/>
      </w:pPr>
      <w:rPr>
        <w:rFonts w:ascii="Courier New" w:hAnsi="Courier New" w:hint="default"/>
      </w:rPr>
    </w:lvl>
    <w:lvl w:ilvl="8" w:tplc="04190005" w:tentative="1">
      <w:start w:val="1"/>
      <w:numFmt w:val="bullet"/>
      <w:lvlText w:val=""/>
      <w:lvlJc w:val="left"/>
      <w:pPr>
        <w:tabs>
          <w:tab w:val="num" w:pos="6313"/>
        </w:tabs>
        <w:ind w:left="6313" w:hanging="360"/>
      </w:pPr>
      <w:rPr>
        <w:rFonts w:ascii="Wingdings" w:hAnsi="Wingdings" w:hint="default"/>
      </w:rPr>
    </w:lvl>
  </w:abstractNum>
  <w:abstractNum w:abstractNumId="2">
    <w:nsid w:val="25C10BC1"/>
    <w:multiLevelType w:val="hybridMultilevel"/>
    <w:tmpl w:val="921815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005D14"/>
    <w:multiLevelType w:val="hybridMultilevel"/>
    <w:tmpl w:val="730C1356"/>
    <w:lvl w:ilvl="0" w:tplc="B35AF65A">
      <w:numFmt w:val="bullet"/>
      <w:lvlText w:val="-"/>
      <w:lvlJc w:val="left"/>
      <w:pPr>
        <w:tabs>
          <w:tab w:val="num" w:pos="568"/>
        </w:tabs>
        <w:ind w:left="568" w:hanging="375"/>
      </w:pPr>
      <w:rPr>
        <w:rFonts w:ascii="Times New Roman" w:eastAsia="Times New Roman" w:hAnsi="Times New Roman" w:hint="default"/>
        <w:sz w:val="20"/>
      </w:rPr>
    </w:lvl>
    <w:lvl w:ilvl="1" w:tplc="04190003" w:tentative="1">
      <w:start w:val="1"/>
      <w:numFmt w:val="bullet"/>
      <w:lvlText w:val="o"/>
      <w:lvlJc w:val="left"/>
      <w:pPr>
        <w:tabs>
          <w:tab w:val="num" w:pos="1273"/>
        </w:tabs>
        <w:ind w:left="1273" w:hanging="360"/>
      </w:pPr>
      <w:rPr>
        <w:rFonts w:ascii="Courier New" w:hAnsi="Courier New" w:hint="default"/>
      </w:rPr>
    </w:lvl>
    <w:lvl w:ilvl="2" w:tplc="04190005" w:tentative="1">
      <w:start w:val="1"/>
      <w:numFmt w:val="bullet"/>
      <w:lvlText w:val=""/>
      <w:lvlJc w:val="left"/>
      <w:pPr>
        <w:tabs>
          <w:tab w:val="num" w:pos="1993"/>
        </w:tabs>
        <w:ind w:left="1993" w:hanging="360"/>
      </w:pPr>
      <w:rPr>
        <w:rFonts w:ascii="Wingdings" w:hAnsi="Wingdings" w:hint="default"/>
      </w:rPr>
    </w:lvl>
    <w:lvl w:ilvl="3" w:tplc="04190001" w:tentative="1">
      <w:start w:val="1"/>
      <w:numFmt w:val="bullet"/>
      <w:lvlText w:val=""/>
      <w:lvlJc w:val="left"/>
      <w:pPr>
        <w:tabs>
          <w:tab w:val="num" w:pos="2713"/>
        </w:tabs>
        <w:ind w:left="2713" w:hanging="360"/>
      </w:pPr>
      <w:rPr>
        <w:rFonts w:ascii="Symbol" w:hAnsi="Symbol" w:hint="default"/>
      </w:rPr>
    </w:lvl>
    <w:lvl w:ilvl="4" w:tplc="04190003" w:tentative="1">
      <w:start w:val="1"/>
      <w:numFmt w:val="bullet"/>
      <w:lvlText w:val="o"/>
      <w:lvlJc w:val="left"/>
      <w:pPr>
        <w:tabs>
          <w:tab w:val="num" w:pos="3433"/>
        </w:tabs>
        <w:ind w:left="3433" w:hanging="360"/>
      </w:pPr>
      <w:rPr>
        <w:rFonts w:ascii="Courier New" w:hAnsi="Courier New" w:hint="default"/>
      </w:rPr>
    </w:lvl>
    <w:lvl w:ilvl="5" w:tplc="04190005" w:tentative="1">
      <w:start w:val="1"/>
      <w:numFmt w:val="bullet"/>
      <w:lvlText w:val=""/>
      <w:lvlJc w:val="left"/>
      <w:pPr>
        <w:tabs>
          <w:tab w:val="num" w:pos="4153"/>
        </w:tabs>
        <w:ind w:left="4153" w:hanging="360"/>
      </w:pPr>
      <w:rPr>
        <w:rFonts w:ascii="Wingdings" w:hAnsi="Wingdings" w:hint="default"/>
      </w:rPr>
    </w:lvl>
    <w:lvl w:ilvl="6" w:tplc="04190001" w:tentative="1">
      <w:start w:val="1"/>
      <w:numFmt w:val="bullet"/>
      <w:lvlText w:val=""/>
      <w:lvlJc w:val="left"/>
      <w:pPr>
        <w:tabs>
          <w:tab w:val="num" w:pos="4873"/>
        </w:tabs>
        <w:ind w:left="4873" w:hanging="360"/>
      </w:pPr>
      <w:rPr>
        <w:rFonts w:ascii="Symbol" w:hAnsi="Symbol" w:hint="default"/>
      </w:rPr>
    </w:lvl>
    <w:lvl w:ilvl="7" w:tplc="04190003" w:tentative="1">
      <w:start w:val="1"/>
      <w:numFmt w:val="bullet"/>
      <w:lvlText w:val="o"/>
      <w:lvlJc w:val="left"/>
      <w:pPr>
        <w:tabs>
          <w:tab w:val="num" w:pos="5593"/>
        </w:tabs>
        <w:ind w:left="5593" w:hanging="360"/>
      </w:pPr>
      <w:rPr>
        <w:rFonts w:ascii="Courier New" w:hAnsi="Courier New" w:hint="default"/>
      </w:rPr>
    </w:lvl>
    <w:lvl w:ilvl="8" w:tplc="04190005" w:tentative="1">
      <w:start w:val="1"/>
      <w:numFmt w:val="bullet"/>
      <w:lvlText w:val=""/>
      <w:lvlJc w:val="left"/>
      <w:pPr>
        <w:tabs>
          <w:tab w:val="num" w:pos="6313"/>
        </w:tabs>
        <w:ind w:left="6313" w:hanging="360"/>
      </w:pPr>
      <w:rPr>
        <w:rFonts w:ascii="Wingdings" w:hAnsi="Wingdings" w:hint="default"/>
      </w:rPr>
    </w:lvl>
  </w:abstractNum>
  <w:abstractNum w:abstractNumId="4">
    <w:nsid w:val="32A77737"/>
    <w:multiLevelType w:val="hybridMultilevel"/>
    <w:tmpl w:val="809AF356"/>
    <w:lvl w:ilvl="0" w:tplc="155830DA">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0F072F4"/>
    <w:multiLevelType w:val="hybridMultilevel"/>
    <w:tmpl w:val="91B07F6C"/>
    <w:lvl w:ilvl="0" w:tplc="2ED042A2">
      <w:numFmt w:val="bullet"/>
      <w:lvlText w:val="-"/>
      <w:lvlJc w:val="left"/>
      <w:pPr>
        <w:tabs>
          <w:tab w:val="num" w:pos="763"/>
        </w:tabs>
        <w:ind w:left="763" w:hanging="570"/>
      </w:pPr>
      <w:rPr>
        <w:rFonts w:ascii="Times New Roman" w:eastAsia="Times New Roman" w:hAnsi="Times New Roman" w:hint="default"/>
      </w:rPr>
    </w:lvl>
    <w:lvl w:ilvl="1" w:tplc="04190003" w:tentative="1">
      <w:start w:val="1"/>
      <w:numFmt w:val="bullet"/>
      <w:lvlText w:val="o"/>
      <w:lvlJc w:val="left"/>
      <w:pPr>
        <w:tabs>
          <w:tab w:val="num" w:pos="1273"/>
        </w:tabs>
        <w:ind w:left="1273" w:hanging="360"/>
      </w:pPr>
      <w:rPr>
        <w:rFonts w:ascii="Courier New" w:hAnsi="Courier New" w:hint="default"/>
      </w:rPr>
    </w:lvl>
    <w:lvl w:ilvl="2" w:tplc="04190005" w:tentative="1">
      <w:start w:val="1"/>
      <w:numFmt w:val="bullet"/>
      <w:lvlText w:val=""/>
      <w:lvlJc w:val="left"/>
      <w:pPr>
        <w:tabs>
          <w:tab w:val="num" w:pos="1993"/>
        </w:tabs>
        <w:ind w:left="1993" w:hanging="360"/>
      </w:pPr>
      <w:rPr>
        <w:rFonts w:ascii="Wingdings" w:hAnsi="Wingdings" w:hint="default"/>
      </w:rPr>
    </w:lvl>
    <w:lvl w:ilvl="3" w:tplc="04190001" w:tentative="1">
      <w:start w:val="1"/>
      <w:numFmt w:val="bullet"/>
      <w:lvlText w:val=""/>
      <w:lvlJc w:val="left"/>
      <w:pPr>
        <w:tabs>
          <w:tab w:val="num" w:pos="2713"/>
        </w:tabs>
        <w:ind w:left="2713" w:hanging="360"/>
      </w:pPr>
      <w:rPr>
        <w:rFonts w:ascii="Symbol" w:hAnsi="Symbol" w:hint="default"/>
      </w:rPr>
    </w:lvl>
    <w:lvl w:ilvl="4" w:tplc="04190003" w:tentative="1">
      <w:start w:val="1"/>
      <w:numFmt w:val="bullet"/>
      <w:lvlText w:val="o"/>
      <w:lvlJc w:val="left"/>
      <w:pPr>
        <w:tabs>
          <w:tab w:val="num" w:pos="3433"/>
        </w:tabs>
        <w:ind w:left="3433" w:hanging="360"/>
      </w:pPr>
      <w:rPr>
        <w:rFonts w:ascii="Courier New" w:hAnsi="Courier New" w:hint="default"/>
      </w:rPr>
    </w:lvl>
    <w:lvl w:ilvl="5" w:tplc="04190005" w:tentative="1">
      <w:start w:val="1"/>
      <w:numFmt w:val="bullet"/>
      <w:lvlText w:val=""/>
      <w:lvlJc w:val="left"/>
      <w:pPr>
        <w:tabs>
          <w:tab w:val="num" w:pos="4153"/>
        </w:tabs>
        <w:ind w:left="4153" w:hanging="360"/>
      </w:pPr>
      <w:rPr>
        <w:rFonts w:ascii="Wingdings" w:hAnsi="Wingdings" w:hint="default"/>
      </w:rPr>
    </w:lvl>
    <w:lvl w:ilvl="6" w:tplc="04190001" w:tentative="1">
      <w:start w:val="1"/>
      <w:numFmt w:val="bullet"/>
      <w:lvlText w:val=""/>
      <w:lvlJc w:val="left"/>
      <w:pPr>
        <w:tabs>
          <w:tab w:val="num" w:pos="4873"/>
        </w:tabs>
        <w:ind w:left="4873" w:hanging="360"/>
      </w:pPr>
      <w:rPr>
        <w:rFonts w:ascii="Symbol" w:hAnsi="Symbol" w:hint="default"/>
      </w:rPr>
    </w:lvl>
    <w:lvl w:ilvl="7" w:tplc="04190003" w:tentative="1">
      <w:start w:val="1"/>
      <w:numFmt w:val="bullet"/>
      <w:lvlText w:val="o"/>
      <w:lvlJc w:val="left"/>
      <w:pPr>
        <w:tabs>
          <w:tab w:val="num" w:pos="5593"/>
        </w:tabs>
        <w:ind w:left="5593" w:hanging="360"/>
      </w:pPr>
      <w:rPr>
        <w:rFonts w:ascii="Courier New" w:hAnsi="Courier New" w:hint="default"/>
      </w:rPr>
    </w:lvl>
    <w:lvl w:ilvl="8" w:tplc="04190005" w:tentative="1">
      <w:start w:val="1"/>
      <w:numFmt w:val="bullet"/>
      <w:lvlText w:val=""/>
      <w:lvlJc w:val="left"/>
      <w:pPr>
        <w:tabs>
          <w:tab w:val="num" w:pos="6313"/>
        </w:tabs>
        <w:ind w:left="6313" w:hanging="360"/>
      </w:pPr>
      <w:rPr>
        <w:rFonts w:ascii="Wingdings" w:hAnsi="Wingdings" w:hint="default"/>
      </w:rPr>
    </w:lvl>
  </w:abstractNum>
  <w:abstractNum w:abstractNumId="6">
    <w:nsid w:val="66BD2C14"/>
    <w:multiLevelType w:val="hybridMultilevel"/>
    <w:tmpl w:val="C69CCF24"/>
    <w:lvl w:ilvl="0" w:tplc="030670DA">
      <w:start w:val="1"/>
      <w:numFmt w:val="decimal"/>
      <w:lvlText w:val="%1."/>
      <w:lvlJc w:val="left"/>
      <w:pPr>
        <w:ind w:left="1175" w:hanging="75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7">
    <w:nsid w:val="6A8D636F"/>
    <w:multiLevelType w:val="hybridMultilevel"/>
    <w:tmpl w:val="E3A28058"/>
    <w:lvl w:ilvl="0" w:tplc="155830DA">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DF76A6E"/>
    <w:multiLevelType w:val="hybridMultilevel"/>
    <w:tmpl w:val="FB92C3F4"/>
    <w:lvl w:ilvl="0" w:tplc="8F764F7E">
      <w:numFmt w:val="bullet"/>
      <w:lvlText w:val="-"/>
      <w:lvlJc w:val="left"/>
      <w:pPr>
        <w:ind w:left="720" w:hanging="360"/>
      </w:pPr>
      <w:rPr>
        <w:rFonts w:ascii="Times New Roman" w:eastAsia="Times New Roman" w:hAnsi="Times New Roman" w:hint="default"/>
        <w:color w:val="auto"/>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8"/>
  </w:num>
  <w:num w:numId="6">
    <w:abstractNumId w:val="6"/>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281"/>
    <w:rsid w:val="00001421"/>
    <w:rsid w:val="0004023E"/>
    <w:rsid w:val="00040E39"/>
    <w:rsid w:val="00070079"/>
    <w:rsid w:val="00084E0A"/>
    <w:rsid w:val="000B5270"/>
    <w:rsid w:val="000B61DF"/>
    <w:rsid w:val="000C5E7F"/>
    <w:rsid w:val="000D6841"/>
    <w:rsid w:val="000F7FF3"/>
    <w:rsid w:val="00122F31"/>
    <w:rsid w:val="00147CFD"/>
    <w:rsid w:val="0018793A"/>
    <w:rsid w:val="00197E85"/>
    <w:rsid w:val="001A2314"/>
    <w:rsid w:val="001A4095"/>
    <w:rsid w:val="001B5F96"/>
    <w:rsid w:val="001C0409"/>
    <w:rsid w:val="001D1197"/>
    <w:rsid w:val="002226B2"/>
    <w:rsid w:val="002527F4"/>
    <w:rsid w:val="002577F6"/>
    <w:rsid w:val="00262297"/>
    <w:rsid w:val="00291AE1"/>
    <w:rsid w:val="002B67F1"/>
    <w:rsid w:val="002B6F29"/>
    <w:rsid w:val="002C03E4"/>
    <w:rsid w:val="002C6088"/>
    <w:rsid w:val="002F5571"/>
    <w:rsid w:val="00301D49"/>
    <w:rsid w:val="00327093"/>
    <w:rsid w:val="00342CCE"/>
    <w:rsid w:val="00342F23"/>
    <w:rsid w:val="0037756B"/>
    <w:rsid w:val="00377B64"/>
    <w:rsid w:val="003B3F3F"/>
    <w:rsid w:val="003E1CC6"/>
    <w:rsid w:val="003F22C7"/>
    <w:rsid w:val="0042153C"/>
    <w:rsid w:val="004337FD"/>
    <w:rsid w:val="0044260F"/>
    <w:rsid w:val="004437A5"/>
    <w:rsid w:val="0045310B"/>
    <w:rsid w:val="004B4654"/>
    <w:rsid w:val="004C40CC"/>
    <w:rsid w:val="004E2DC0"/>
    <w:rsid w:val="00544BAC"/>
    <w:rsid w:val="0054507F"/>
    <w:rsid w:val="00564984"/>
    <w:rsid w:val="005A158B"/>
    <w:rsid w:val="005B3F33"/>
    <w:rsid w:val="005D1BFC"/>
    <w:rsid w:val="005E302E"/>
    <w:rsid w:val="005E588D"/>
    <w:rsid w:val="00615F17"/>
    <w:rsid w:val="006541AA"/>
    <w:rsid w:val="006600FC"/>
    <w:rsid w:val="006A5F0F"/>
    <w:rsid w:val="006B7132"/>
    <w:rsid w:val="006E3E14"/>
    <w:rsid w:val="00715DE3"/>
    <w:rsid w:val="00754FE6"/>
    <w:rsid w:val="0078704F"/>
    <w:rsid w:val="007B5CA7"/>
    <w:rsid w:val="007D506E"/>
    <w:rsid w:val="008313AC"/>
    <w:rsid w:val="008333AF"/>
    <w:rsid w:val="00862A9B"/>
    <w:rsid w:val="008E0467"/>
    <w:rsid w:val="00907D50"/>
    <w:rsid w:val="009132FF"/>
    <w:rsid w:val="0091750C"/>
    <w:rsid w:val="0094323B"/>
    <w:rsid w:val="00944790"/>
    <w:rsid w:val="009616C0"/>
    <w:rsid w:val="0096251C"/>
    <w:rsid w:val="00980780"/>
    <w:rsid w:val="009A3704"/>
    <w:rsid w:val="009C0BBA"/>
    <w:rsid w:val="00A03FF4"/>
    <w:rsid w:val="00A0508A"/>
    <w:rsid w:val="00A13FDD"/>
    <w:rsid w:val="00A24F5A"/>
    <w:rsid w:val="00A27600"/>
    <w:rsid w:val="00A3196C"/>
    <w:rsid w:val="00A67C64"/>
    <w:rsid w:val="00B01146"/>
    <w:rsid w:val="00B113D1"/>
    <w:rsid w:val="00BA1210"/>
    <w:rsid w:val="00BC2CF3"/>
    <w:rsid w:val="00C24128"/>
    <w:rsid w:val="00C522CE"/>
    <w:rsid w:val="00C679A2"/>
    <w:rsid w:val="00C80236"/>
    <w:rsid w:val="00CA0E14"/>
    <w:rsid w:val="00CB05E6"/>
    <w:rsid w:val="00CB4786"/>
    <w:rsid w:val="00CD5E46"/>
    <w:rsid w:val="00D0537D"/>
    <w:rsid w:val="00D10AB6"/>
    <w:rsid w:val="00D4217A"/>
    <w:rsid w:val="00D51830"/>
    <w:rsid w:val="00D52447"/>
    <w:rsid w:val="00D5777C"/>
    <w:rsid w:val="00D86DC0"/>
    <w:rsid w:val="00DA6558"/>
    <w:rsid w:val="00E01196"/>
    <w:rsid w:val="00E30806"/>
    <w:rsid w:val="00E46EAB"/>
    <w:rsid w:val="00EA053D"/>
    <w:rsid w:val="00EC26C7"/>
    <w:rsid w:val="00F324E8"/>
    <w:rsid w:val="00F34186"/>
    <w:rsid w:val="00FD2384"/>
    <w:rsid w:val="00FF22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81"/>
    <w:rPr>
      <w:rFonts w:ascii="Times New Roman" w:eastAsia="Times New Roman" w:hAnsi="Times New Roman"/>
      <w:sz w:val="20"/>
      <w:szCs w:val="20"/>
    </w:rPr>
  </w:style>
  <w:style w:type="paragraph" w:styleId="Heading1">
    <w:name w:val="heading 1"/>
    <w:basedOn w:val="Normal"/>
    <w:next w:val="Normal"/>
    <w:link w:val="Heading1Char"/>
    <w:uiPriority w:val="99"/>
    <w:qFormat/>
    <w:rsid w:val="00FF2281"/>
    <w:pPr>
      <w:keepNext/>
      <w:jc w:val="right"/>
      <w:outlineLvl w:val="0"/>
    </w:pPr>
    <w:rPr>
      <w:sz w:val="24"/>
      <w:lang w:val="uk-UA"/>
    </w:rPr>
  </w:style>
  <w:style w:type="paragraph" w:styleId="Heading3">
    <w:name w:val="heading 3"/>
    <w:basedOn w:val="Normal"/>
    <w:next w:val="Normal"/>
    <w:link w:val="Heading3Char"/>
    <w:uiPriority w:val="99"/>
    <w:qFormat/>
    <w:rsid w:val="00FF2281"/>
    <w:pPr>
      <w:keepNext/>
      <w:ind w:firstLine="720"/>
      <w:jc w:val="center"/>
      <w:outlineLvl w:val="2"/>
    </w:pPr>
    <w:rPr>
      <w:b/>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2281"/>
    <w:rPr>
      <w:rFonts w:ascii="Times New Roman" w:hAnsi="Times New Roman" w:cs="Times New Roman"/>
      <w:sz w:val="20"/>
      <w:szCs w:val="20"/>
      <w:lang w:val="uk-UA" w:eastAsia="ru-RU"/>
    </w:rPr>
  </w:style>
  <w:style w:type="character" w:customStyle="1" w:styleId="Heading3Char">
    <w:name w:val="Heading 3 Char"/>
    <w:basedOn w:val="DefaultParagraphFont"/>
    <w:link w:val="Heading3"/>
    <w:uiPriority w:val="99"/>
    <w:locked/>
    <w:rsid w:val="00FF2281"/>
    <w:rPr>
      <w:rFonts w:ascii="Times New Roman" w:hAnsi="Times New Roman" w:cs="Times New Roman"/>
      <w:b/>
      <w:sz w:val="20"/>
      <w:szCs w:val="20"/>
      <w:lang w:val="uk-UA" w:eastAsia="ru-RU"/>
    </w:rPr>
  </w:style>
  <w:style w:type="character" w:customStyle="1" w:styleId="spelle">
    <w:name w:val="spelle"/>
    <w:uiPriority w:val="99"/>
    <w:rsid w:val="00FF2281"/>
  </w:style>
  <w:style w:type="paragraph" w:styleId="BlockText">
    <w:name w:val="Block Text"/>
    <w:basedOn w:val="Normal"/>
    <w:uiPriority w:val="99"/>
    <w:rsid w:val="00FF2281"/>
    <w:pPr>
      <w:ind w:left="6237" w:right="-99"/>
    </w:pPr>
    <w:rPr>
      <w:sz w:val="28"/>
    </w:rPr>
  </w:style>
  <w:style w:type="table" w:styleId="TableGrid">
    <w:name w:val="Table Grid"/>
    <w:basedOn w:val="TableNormal"/>
    <w:uiPriority w:val="99"/>
    <w:rsid w:val="00FF22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F2281"/>
    <w:pPr>
      <w:spacing w:before="100" w:beforeAutospacing="1" w:after="100" w:afterAutospacing="1"/>
    </w:pPr>
    <w:rPr>
      <w:rFonts w:eastAsia="Calibri"/>
      <w:sz w:val="24"/>
      <w:szCs w:val="24"/>
    </w:rPr>
  </w:style>
  <w:style w:type="paragraph" w:customStyle="1" w:styleId="rvps12">
    <w:name w:val="rvps12"/>
    <w:basedOn w:val="Normal"/>
    <w:uiPriority w:val="99"/>
    <w:rsid w:val="00FF2281"/>
    <w:pPr>
      <w:spacing w:before="100" w:after="100"/>
    </w:pPr>
    <w:rPr>
      <w:sz w:val="24"/>
    </w:rPr>
  </w:style>
  <w:style w:type="paragraph" w:customStyle="1" w:styleId="rvps2">
    <w:name w:val="rvps2"/>
    <w:basedOn w:val="Normal"/>
    <w:uiPriority w:val="99"/>
    <w:rsid w:val="00FF2281"/>
    <w:pPr>
      <w:spacing w:before="100" w:after="100"/>
    </w:pPr>
    <w:rPr>
      <w:sz w:val="24"/>
    </w:rPr>
  </w:style>
  <w:style w:type="paragraph" w:styleId="Header">
    <w:name w:val="header"/>
    <w:basedOn w:val="Normal"/>
    <w:link w:val="HeaderChar"/>
    <w:uiPriority w:val="99"/>
    <w:rsid w:val="00FF2281"/>
    <w:pPr>
      <w:tabs>
        <w:tab w:val="center" w:pos="4677"/>
        <w:tab w:val="right" w:pos="9355"/>
      </w:tabs>
    </w:pPr>
  </w:style>
  <w:style w:type="character" w:customStyle="1" w:styleId="HeaderChar">
    <w:name w:val="Header Char"/>
    <w:basedOn w:val="DefaultParagraphFont"/>
    <w:link w:val="Header"/>
    <w:uiPriority w:val="99"/>
    <w:locked/>
    <w:rsid w:val="00FF2281"/>
    <w:rPr>
      <w:rFonts w:ascii="Times New Roman" w:hAnsi="Times New Roman" w:cs="Times New Roman"/>
      <w:sz w:val="20"/>
      <w:szCs w:val="20"/>
      <w:lang w:eastAsia="ru-RU"/>
    </w:rPr>
  </w:style>
  <w:style w:type="paragraph" w:styleId="Footer">
    <w:name w:val="footer"/>
    <w:basedOn w:val="Normal"/>
    <w:link w:val="FooterChar"/>
    <w:uiPriority w:val="99"/>
    <w:rsid w:val="00FF2281"/>
    <w:pPr>
      <w:tabs>
        <w:tab w:val="center" w:pos="4677"/>
        <w:tab w:val="right" w:pos="9355"/>
      </w:tabs>
    </w:pPr>
  </w:style>
  <w:style w:type="character" w:customStyle="1" w:styleId="FooterChar">
    <w:name w:val="Footer Char"/>
    <w:basedOn w:val="DefaultParagraphFont"/>
    <w:link w:val="Footer"/>
    <w:uiPriority w:val="99"/>
    <w:locked/>
    <w:rsid w:val="00FF2281"/>
    <w:rPr>
      <w:rFonts w:ascii="Times New Roman" w:hAnsi="Times New Roman" w:cs="Times New Roman"/>
      <w:sz w:val="20"/>
      <w:szCs w:val="20"/>
      <w:lang w:eastAsia="ru-RU"/>
    </w:rPr>
  </w:style>
  <w:style w:type="character" w:styleId="Hyperlink">
    <w:name w:val="Hyperlink"/>
    <w:basedOn w:val="DefaultParagraphFont"/>
    <w:uiPriority w:val="99"/>
    <w:rsid w:val="00FF2281"/>
    <w:rPr>
      <w:rFonts w:cs="Times New Roman"/>
      <w:color w:val="0000FF"/>
      <w:u w:val="single"/>
    </w:rPr>
  </w:style>
  <w:style w:type="character" w:styleId="LineNumber">
    <w:name w:val="line number"/>
    <w:basedOn w:val="DefaultParagraphFont"/>
    <w:uiPriority w:val="99"/>
    <w:semiHidden/>
    <w:rsid w:val="00070079"/>
    <w:rPr>
      <w:rFonts w:cs="Times New Roman"/>
    </w:rPr>
  </w:style>
  <w:style w:type="paragraph" w:styleId="ListParagraph">
    <w:name w:val="List Paragraph"/>
    <w:basedOn w:val="Normal"/>
    <w:uiPriority w:val="99"/>
    <w:qFormat/>
    <w:rsid w:val="00C679A2"/>
    <w:pPr>
      <w:ind w:left="720" w:firstLine="567"/>
      <w:contextualSpacing/>
      <w:jc w:val="both"/>
    </w:pPr>
    <w:rPr>
      <w:rFonts w:eastAsia="Calibri"/>
      <w:sz w:val="28"/>
      <w:szCs w:val="24"/>
      <w:lang w:val="uk-UA"/>
    </w:rPr>
  </w:style>
  <w:style w:type="character" w:customStyle="1" w:styleId="FontStyle12">
    <w:name w:val="Font Style12"/>
    <w:uiPriority w:val="99"/>
    <w:rsid w:val="006E3E14"/>
    <w:rPr>
      <w:rFonts w:ascii="Times New Roman" w:hAnsi="Times New Roman"/>
      <w:sz w:val="24"/>
    </w:rPr>
  </w:style>
  <w:style w:type="character" w:customStyle="1" w:styleId="rvts46">
    <w:name w:val="rvts46"/>
    <w:basedOn w:val="DefaultParagraphFont"/>
    <w:uiPriority w:val="99"/>
    <w:rsid w:val="00262297"/>
    <w:rPr>
      <w:rFonts w:cs="Times New Roman"/>
    </w:rPr>
  </w:style>
  <w:style w:type="character" w:customStyle="1" w:styleId="4">
    <w:name w:val="Основной текст (4)"/>
    <w:basedOn w:val="DefaultParagraphFont"/>
    <w:uiPriority w:val="99"/>
    <w:rsid w:val="004437A5"/>
    <w:rPr>
      <w:rFonts w:cs="Times New Roman"/>
      <w:b/>
      <w:bCs/>
      <w:sz w:val="25"/>
      <w:szCs w:val="25"/>
      <w:u w:val="single"/>
      <w:shd w:val="clear" w:color="auto" w:fill="FFFFFF"/>
    </w:rPr>
  </w:style>
  <w:style w:type="paragraph" w:styleId="BodyText">
    <w:name w:val="Body Text"/>
    <w:basedOn w:val="Normal"/>
    <w:link w:val="BodyTextChar"/>
    <w:uiPriority w:val="99"/>
    <w:rsid w:val="005A158B"/>
    <w:pPr>
      <w:jc w:val="both"/>
    </w:pPr>
    <w:rPr>
      <w:sz w:val="28"/>
      <w:szCs w:val="28"/>
      <w:lang w:val="uk-UA"/>
    </w:rPr>
  </w:style>
  <w:style w:type="character" w:customStyle="1" w:styleId="BodyTextChar">
    <w:name w:val="Body Text Char"/>
    <w:basedOn w:val="DefaultParagraphFont"/>
    <w:link w:val="BodyText"/>
    <w:uiPriority w:val="99"/>
    <w:locked/>
    <w:rsid w:val="005A158B"/>
    <w:rPr>
      <w:rFonts w:eastAsia="Times New Roman" w:cs="Times New Roman"/>
      <w:sz w:val="28"/>
      <w:szCs w:val="28"/>
      <w:lang w:val="uk-UA" w:eastAsia="ru-RU" w:bidi="ar-SA"/>
    </w:rPr>
  </w:style>
  <w:style w:type="paragraph" w:customStyle="1" w:styleId="21">
    <w:name w:val="Основной текст (2)1"/>
    <w:basedOn w:val="Normal"/>
    <w:uiPriority w:val="99"/>
    <w:rsid w:val="005A158B"/>
    <w:pPr>
      <w:widowControl w:val="0"/>
      <w:shd w:val="clear" w:color="auto" w:fill="FFFFFF"/>
      <w:spacing w:line="594" w:lineRule="exac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1784616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izhnyak@usf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3</Pages>
  <Words>1451</Words>
  <Characters>8274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LIDA</cp:lastModifiedBy>
  <cp:revision>32</cp:revision>
  <cp:lastPrinted>2021-08-30T13:14:00Z</cp:lastPrinted>
  <dcterms:created xsi:type="dcterms:W3CDTF">2021-04-13T13:10:00Z</dcterms:created>
  <dcterms:modified xsi:type="dcterms:W3CDTF">2021-11-30T12:08:00Z</dcterms:modified>
</cp:coreProperties>
</file>