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B8491" w14:textId="77777777" w:rsidR="006710ED" w:rsidRPr="001A795A" w:rsidRDefault="006710ED" w:rsidP="001A79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 РЕГУЛЯТОРНОГО ВПЛИВУ</w:t>
      </w:r>
    </w:p>
    <w:p w14:paraId="004F4BC3" w14:textId="1F4007E7" w:rsidR="00707667" w:rsidRPr="001A795A" w:rsidRDefault="00707667" w:rsidP="001A795A">
      <w:pPr>
        <w:shd w:val="clear" w:color="auto" w:fill="FFFFFF"/>
        <w:spacing w:after="0" w:line="240" w:lineRule="auto"/>
        <w:ind w:right="45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проєкту постанови Кабінету Міністрів України «</w:t>
      </w:r>
      <w:r w:rsidR="006C5CAE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Деякі питання </w:t>
      </w:r>
      <w:r w:rsidR="006C5CAE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демонстрування національних фільмів, інших фільмів, вироблених суб’єктами кінематографії України, і творів національної кінематографічної спадщини</w:t>
      </w:r>
      <w:bookmarkStart w:id="0" w:name="n5"/>
      <w:bookmarkEnd w:id="0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14:paraId="3376B1A8" w14:textId="77777777" w:rsidR="00707667" w:rsidRPr="001A795A" w:rsidRDefault="00707667" w:rsidP="001A79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497F85" w14:textId="77777777" w:rsidR="006710ED" w:rsidRPr="001A795A" w:rsidRDefault="006710ED" w:rsidP="001A79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n89"/>
      <w:bookmarkEnd w:id="1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I. Визначення проблеми</w:t>
      </w:r>
    </w:p>
    <w:p w14:paraId="6445C476" w14:textId="06663B38" w:rsidR="006C5CAE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2" w:name="n90"/>
      <w:bookmarkEnd w:id="2"/>
      <w:r w:rsidRPr="001A795A">
        <w:rPr>
          <w:rFonts w:ascii="Times New Roman" w:hAnsi="Times New Roman" w:cs="Times New Roman"/>
          <w:sz w:val="24"/>
          <w:szCs w:val="24"/>
          <w:lang w:val="uk-UA"/>
        </w:rPr>
        <w:t>Статтею 15</w:t>
      </w:r>
      <w:r w:rsidRPr="001A795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кінематографі</w:t>
      </w:r>
      <w:r w:rsidR="00796E52" w:rsidRPr="001A795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» (далі – Закон) для демонстраторів фільмів, 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які не є суб’єктами у сфері аудіовізуальних медіа,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встановлюється обов’язок 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здійснювати демонстрацію національних фільмів, інших фільмів, вироблених суб’єктами кінематографії України, і творів національної кінематографічної спадщини у кількості щонайменше 30 відсотків загального щомісячного часу демонстрації фільмів.</w:t>
      </w:r>
    </w:p>
    <w:p w14:paraId="671BCA5A" w14:textId="01022FE3" w:rsidR="00F74ED9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Частиною </w:t>
      </w:r>
      <w:r w:rsidR="00C8111A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дев’ятою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статті 17 Закону передбачається, що Положення про національний екранний час та його використання суб’єктами кінематографії затверджується Кабінетом Міністрів України.</w:t>
      </w:r>
      <w:r w:rsidR="00710483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74ED9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Наразі діє Положення про </w:t>
      </w:r>
      <w:r w:rsidR="00F74ED9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екранний час та його використання суб’єктами кінематографії та телебачення, затверджене </w:t>
      </w:r>
      <w:r w:rsidR="00F74ED9" w:rsidRPr="001A79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</w:t>
      </w:r>
      <w:r w:rsidR="00F74ED9" w:rsidRPr="001A795A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14 вересня 1998 року № 1436 (зі змінами) (далі – Положення).</w:t>
      </w:r>
    </w:p>
    <w:p w14:paraId="76DE926E" w14:textId="10214334" w:rsidR="006C5CAE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Підпунктом 14 пункту 4 Положення про Державне агентство України з питань кіно, затвердженого постановою Кабінету Міністрів України від 17 липня 2014 року № 277 (зі змінами), передбачається, що Держкіно відповідно до покладених на нього завдань здійснює, серед іншого, контроль за дотриманням суб’єктами кінематографії (крім суб’єктів у сфері медіа) квоти демонстрування національних фільмів під час використання національного </w:t>
      </w:r>
      <w:bookmarkStart w:id="3" w:name="w1_1"/>
      <w:r w:rsidRPr="001A795A">
        <w:rPr>
          <w:rFonts w:ascii="Times New Roman" w:hAnsi="Times New Roman" w:cs="Times New Roman"/>
          <w:sz w:val="24"/>
          <w:szCs w:val="24"/>
          <w:lang w:val="uk-UA"/>
        </w:rPr>
        <w:t>екран</w:t>
      </w:r>
      <w:bookmarkEnd w:id="3"/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ного часу, умов розповсюдження та демонстрування фільмів, передбачених у Державному реєстрі фільмів.</w:t>
      </w:r>
    </w:p>
    <w:p w14:paraId="53A480B1" w14:textId="77777777" w:rsidR="006C5CAE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Положення про Державний реєстр фільмів, затверджене постановою Кабінету Міністрів України від 10 жовтня 2023 року № 1069,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встановлює порядок внесення фільмів українського, іноземного та спільного виробництва до Державного реєстру фільмів, а також порядок його ведення.</w:t>
      </w:r>
    </w:p>
    <w:p w14:paraId="68E9F485" w14:textId="7C478304" w:rsidR="006C5CAE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Умови розповсюдження і демонстрування фільм</w:t>
      </w:r>
      <w:r w:rsidR="00C8111A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суб’єктами кінематографії визнача</w:t>
      </w:r>
      <w:r w:rsidR="00C8111A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ться Законом. Умови розповсюдження і демонстрування фільмів, внесених до Державного реєстру фільмів, суб’єктами у сфері медіа визначаються Законом України «Про медіа».</w:t>
      </w:r>
    </w:p>
    <w:p w14:paraId="72567392" w14:textId="01192B1F" w:rsidR="006C5CAE" w:rsidRPr="001A795A" w:rsidRDefault="006C5CAE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Враховуючи, що Держкіно є єдиним центральним органом виконавчої влади, який забезпечує формування та реалізує державну політику у сфери кінематографії, а також те, що Законом України «Про медіа» внесені чисельні зміни щодо умов розповсюдження і демонстрування фільмів, </w:t>
      </w:r>
      <w:r w:rsidRPr="001A79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наразі виникла необхідність у </w:t>
      </w:r>
      <w:r w:rsidR="003119AB" w:rsidRPr="001A79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приведенні діючих підзаконних </w:t>
      </w:r>
      <w:r w:rsidR="000834ED" w:rsidRPr="001A79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нормативно-правових </w:t>
      </w:r>
      <w:r w:rsidR="003119AB" w:rsidRPr="001A79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актів у відповідність до Закону</w:t>
      </w:r>
      <w:r w:rsidR="003119AB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</w:t>
      </w:r>
      <w:r w:rsidR="000834ED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відповідно, 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затвердженні Положення про національний екранний час та його використання суб’єктами кінематографії </w:t>
      </w:r>
      <w:r w:rsidRPr="001A795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в новій редакції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</w:t>
      </w:r>
    </w:p>
    <w:p w14:paraId="31118AD7" w14:textId="43318B86" w:rsidR="006710ED" w:rsidRPr="001A795A" w:rsidRDefault="00B01C27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сновні групи, на які проблема справляє вплив: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848"/>
        <w:gridCol w:w="874"/>
      </w:tblGrid>
      <w:tr w:rsidR="001A795A" w:rsidRPr="001A795A" w14:paraId="01D7DDEE" w14:textId="77777777" w:rsidTr="004674C1">
        <w:tc>
          <w:tcPr>
            <w:tcW w:w="4092" w:type="pct"/>
            <w:vAlign w:val="center"/>
            <w:hideMark/>
          </w:tcPr>
          <w:p w14:paraId="09083958" w14:textId="7F7B1DE3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95"/>
            <w:bookmarkEnd w:id="4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447" w:type="pct"/>
            <w:vAlign w:val="center"/>
            <w:hideMark/>
          </w:tcPr>
          <w:p w14:paraId="1B8C9347" w14:textId="77777777" w:rsidR="006710ED" w:rsidRPr="001A795A" w:rsidRDefault="006710ED" w:rsidP="001A795A">
            <w:pPr>
              <w:spacing w:after="0" w:line="240" w:lineRule="auto"/>
              <w:ind w:hanging="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462" w:type="pct"/>
            <w:vAlign w:val="center"/>
            <w:hideMark/>
          </w:tcPr>
          <w:p w14:paraId="7AFAC802" w14:textId="77777777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1A795A" w:rsidRPr="001A795A" w14:paraId="7A7F3904" w14:textId="77777777" w:rsidTr="004674C1">
        <w:tc>
          <w:tcPr>
            <w:tcW w:w="4092" w:type="pct"/>
            <w:vAlign w:val="center"/>
            <w:hideMark/>
          </w:tcPr>
          <w:p w14:paraId="5169A7D6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447" w:type="pct"/>
            <w:vAlign w:val="center"/>
            <w:hideMark/>
          </w:tcPr>
          <w:p w14:paraId="5D58954F" w14:textId="65146011" w:rsidR="006710ED" w:rsidRPr="001A795A" w:rsidRDefault="0071048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62" w:type="pct"/>
            <w:vAlign w:val="center"/>
            <w:hideMark/>
          </w:tcPr>
          <w:p w14:paraId="2A64DD01" w14:textId="480924E7" w:rsidR="006710ED" w:rsidRPr="001A795A" w:rsidRDefault="002155A6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1A795A" w:rsidRPr="001A795A" w14:paraId="3E0CFA1A" w14:textId="77777777" w:rsidTr="004674C1">
        <w:tc>
          <w:tcPr>
            <w:tcW w:w="4092" w:type="pct"/>
            <w:vAlign w:val="center"/>
            <w:hideMark/>
          </w:tcPr>
          <w:p w14:paraId="7DBB3D7E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Держава</w:t>
            </w:r>
          </w:p>
        </w:tc>
        <w:tc>
          <w:tcPr>
            <w:tcW w:w="447" w:type="pct"/>
            <w:vAlign w:val="center"/>
            <w:hideMark/>
          </w:tcPr>
          <w:p w14:paraId="13331279" w14:textId="488FF3BF" w:rsidR="006710ED" w:rsidRPr="001A795A" w:rsidRDefault="00CF324F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62" w:type="pct"/>
            <w:vAlign w:val="center"/>
            <w:hideMark/>
          </w:tcPr>
          <w:p w14:paraId="29585DA3" w14:textId="77C60AB5" w:rsidR="006710ED" w:rsidRPr="001A795A" w:rsidRDefault="0071048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1A795A" w:rsidRPr="001A795A" w14:paraId="4D1D8D03" w14:textId="77777777" w:rsidTr="004674C1">
        <w:tc>
          <w:tcPr>
            <w:tcW w:w="4092" w:type="pct"/>
            <w:vAlign w:val="center"/>
            <w:hideMark/>
          </w:tcPr>
          <w:p w14:paraId="12E380A7" w14:textId="55C03293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Суб’єкти господарювання,</w:t>
            </w:r>
            <w:r w:rsidR="00C566B1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тому числі суб’єкти малого підприємництва</w:t>
            </w:r>
          </w:p>
        </w:tc>
        <w:tc>
          <w:tcPr>
            <w:tcW w:w="447" w:type="pct"/>
            <w:vAlign w:val="center"/>
            <w:hideMark/>
          </w:tcPr>
          <w:p w14:paraId="3CCB4BE7" w14:textId="5586BBF4" w:rsidR="006710ED" w:rsidRPr="001A795A" w:rsidRDefault="00CF324F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62" w:type="pct"/>
            <w:vAlign w:val="center"/>
            <w:hideMark/>
          </w:tcPr>
          <w:p w14:paraId="5E2BB076" w14:textId="22CBAAED" w:rsidR="006710ED" w:rsidRPr="001A795A" w:rsidRDefault="0071048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</w:tbl>
    <w:p w14:paraId="7729CD4D" w14:textId="77777777" w:rsidR="002A5CA5" w:rsidRPr="001A795A" w:rsidRDefault="002A5CA5" w:rsidP="001A795A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n96"/>
      <w:bookmarkStart w:id="6" w:name="n99"/>
      <w:bookmarkEnd w:id="5"/>
      <w:bookmarkEnd w:id="6"/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Врегулювання зазначених проблемних питань не може бути здійснено за допомогою: </w:t>
      </w:r>
    </w:p>
    <w:p w14:paraId="19B5E821" w14:textId="77777777" w:rsidR="002A5CA5" w:rsidRPr="001A795A" w:rsidRDefault="002A5CA5" w:rsidP="001A795A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14:paraId="7296F5DA" w14:textId="3E37FBB3" w:rsidR="002A5CA5" w:rsidRPr="001A795A" w:rsidRDefault="003E5E21" w:rsidP="001A795A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діючих </w:t>
      </w:r>
      <w:r w:rsidR="002A5CA5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регуляторних актів, оскільки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чинні </w:t>
      </w:r>
      <w:r w:rsidR="002A5CA5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регуляторні акти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потребують приведення </w:t>
      </w:r>
      <w:r w:rsidR="00B02F44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їх положень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у відповідність до Закону та Закону України «Про медіа»</w:t>
      </w:r>
      <w:r w:rsidR="002A5CA5" w:rsidRPr="001A79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92EFBF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2046E2C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II. Цілі державного регулювання</w:t>
      </w:r>
    </w:p>
    <w:p w14:paraId="5B5A98E2" w14:textId="7DCF9C4D" w:rsidR="006710ED" w:rsidRPr="001A795A" w:rsidRDefault="00175F3A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7" w:name="n100"/>
      <w:bookmarkEnd w:id="7"/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Основною ціллю державного регулювання є </w:t>
      </w:r>
      <w:bookmarkStart w:id="8" w:name="n101"/>
      <w:bookmarkEnd w:id="8"/>
      <w:r w:rsidR="00B02F44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B02F44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сприяння виробництву фільмів в Україні, а також доступу глядачів до перегляду творів національної кінематографічної спадщини.</w:t>
      </w:r>
    </w:p>
    <w:p w14:paraId="3DA7F496" w14:textId="76E60553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III. Визначення та оцінка альтернативних способів досягнення цілей</w:t>
      </w:r>
    </w:p>
    <w:p w14:paraId="6F5EFA34" w14:textId="77777777" w:rsidR="006710ED" w:rsidRPr="001A795A" w:rsidRDefault="006710ED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9" w:name="n102"/>
      <w:bookmarkEnd w:id="9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Визначення альтернативних способів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7478"/>
      </w:tblGrid>
      <w:tr w:rsidR="001A795A" w:rsidRPr="001A795A" w14:paraId="03E2B136" w14:textId="77777777" w:rsidTr="00FB03E5">
        <w:tc>
          <w:tcPr>
            <w:tcW w:w="1057" w:type="pct"/>
            <w:vAlign w:val="center"/>
            <w:hideMark/>
          </w:tcPr>
          <w:p w14:paraId="1A079FF5" w14:textId="77777777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n103"/>
            <w:bookmarkStart w:id="11" w:name="n104"/>
            <w:bookmarkEnd w:id="10"/>
            <w:bookmarkEnd w:id="11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943" w:type="pct"/>
            <w:vAlign w:val="center"/>
            <w:hideMark/>
          </w:tcPr>
          <w:p w14:paraId="31903234" w14:textId="77777777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1A795A" w:rsidRPr="001A795A" w14:paraId="2FCAED5D" w14:textId="77777777" w:rsidTr="00FB03E5">
        <w:tc>
          <w:tcPr>
            <w:tcW w:w="1057" w:type="pct"/>
            <w:vAlign w:val="center"/>
            <w:hideMark/>
          </w:tcPr>
          <w:p w14:paraId="2AB52090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3943" w:type="pct"/>
            <w:vAlign w:val="center"/>
            <w:hideMark/>
          </w:tcPr>
          <w:p w14:paraId="05873CB9" w14:textId="4FA55436" w:rsidR="00434638" w:rsidRPr="001A795A" w:rsidRDefault="00380F8D" w:rsidP="001A795A">
            <w:pPr>
              <w:spacing w:after="0" w:line="240" w:lineRule="auto"/>
              <w:ind w:left="76"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існуючої ситуації без змін</w:t>
            </w:r>
            <w:r w:rsidR="000759F8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тобто продовження дії </w:t>
            </w:r>
            <w:r w:rsidR="000759F8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Положення, </w:t>
            </w:r>
            <w:r w:rsidR="000932B7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норми якого, </w:t>
            </w:r>
            <w:r w:rsidR="000759F8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всупереч вимог Закону України «Про медіа»</w:t>
            </w:r>
            <w:r w:rsidR="000932B7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759F8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визначають, серед іншого, умови використання національного екранного часу телерадіоорганізаціями, які відповідно до ліцензій здійснюють телевізійне ефірне мовлення або багатоканальне мовлення з використанням радіочастотного ресурсу</w:t>
            </w:r>
            <w:r w:rsidR="00746BDA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01AEF3C8" w14:textId="39895AB4" w:rsidR="006710ED" w:rsidRPr="001A795A" w:rsidRDefault="00746BDA" w:rsidP="001A795A">
            <w:pPr>
              <w:spacing w:after="0" w:line="240" w:lineRule="auto"/>
              <w:ind w:left="76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Такий альтернативний спосіб є недоцільним, </w:t>
            </w:r>
            <w:r w:rsidR="00434638" w:rsidRPr="001A79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так як він 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забезпечує виконання вимог Закону та Закону України «Про медіа».</w:t>
            </w:r>
          </w:p>
        </w:tc>
      </w:tr>
      <w:tr w:rsidR="001A795A" w:rsidRPr="001A795A" w14:paraId="559AE3F2" w14:textId="77777777" w:rsidTr="00FB03E5">
        <w:tc>
          <w:tcPr>
            <w:tcW w:w="1057" w:type="pct"/>
            <w:vAlign w:val="center"/>
            <w:hideMark/>
          </w:tcPr>
          <w:p w14:paraId="1700DAFD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3943" w:type="pct"/>
            <w:vAlign w:val="center"/>
            <w:hideMark/>
          </w:tcPr>
          <w:p w14:paraId="444B3747" w14:textId="77777777" w:rsidR="006710ED" w:rsidRPr="001A795A" w:rsidRDefault="00380F8D" w:rsidP="001A795A">
            <w:pPr>
              <w:spacing w:after="0" w:line="240" w:lineRule="auto"/>
              <w:ind w:left="76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проєкту акт</w:t>
            </w:r>
            <w:r w:rsidR="00411801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0F5466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дозволить розмежувати повноваження між Держкіно (як центральним органом виконавчої влади, який забезпечує формування та реалізує державну політику у сфері кінематографії) та Національною Радою України з питань телебачення і радіомовлення (як незалежним постійно діючим колегіальним державним органом, який здійснює державне регулювання, нагляд та контроль у сфері медіа)</w:t>
            </w:r>
            <w:r w:rsidR="00434638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6DDC9FE" w14:textId="6C97F65C" w:rsidR="00434638" w:rsidRPr="001A795A" w:rsidRDefault="00434638" w:rsidP="001A795A">
            <w:pPr>
              <w:spacing w:after="0" w:line="240" w:lineRule="auto"/>
              <w:ind w:left="76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Такий альтернативний спосіб дозволить привести підзаконні нормативно-правові акти у відповідність до 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Закону та Закону України «Про медіа».</w:t>
            </w:r>
          </w:p>
        </w:tc>
      </w:tr>
    </w:tbl>
    <w:p w14:paraId="41A30346" w14:textId="1297FDEA" w:rsidR="00380F8D" w:rsidRPr="001A795A" w:rsidRDefault="00380F8D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105"/>
      <w:bookmarkEnd w:id="12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способи є неприйнятними, оскільки їх реалізація не розв’яже порушену проблему</w:t>
      </w:r>
      <w:r w:rsidR="0041180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337F22A" w14:textId="77777777" w:rsidR="003F567E" w:rsidRPr="001A795A" w:rsidRDefault="003F567E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n116"/>
      <w:bookmarkEnd w:id="13"/>
    </w:p>
    <w:p w14:paraId="256F7686" w14:textId="263DFDA2" w:rsidR="006710ED" w:rsidRPr="001A795A" w:rsidRDefault="006710ED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Оцінка вибраних альтернативних способів досягнення цілей</w:t>
      </w:r>
    </w:p>
    <w:p w14:paraId="0DF3AB32" w14:textId="77777777" w:rsidR="006710ED" w:rsidRPr="001A795A" w:rsidRDefault="006710ED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4" w:name="n117"/>
      <w:bookmarkStart w:id="15" w:name="n118"/>
      <w:bookmarkEnd w:id="14"/>
      <w:bookmarkEnd w:id="15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Оцінка впливу на сферу </w:t>
      </w: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інтересів держави</w:t>
      </w:r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4030"/>
        <w:gridCol w:w="3739"/>
      </w:tblGrid>
      <w:tr w:rsidR="001A795A" w:rsidRPr="001A795A" w14:paraId="595D9348" w14:textId="77777777" w:rsidTr="00B57ED5">
        <w:tc>
          <w:tcPr>
            <w:tcW w:w="1719" w:type="dxa"/>
            <w:vAlign w:val="center"/>
            <w:hideMark/>
          </w:tcPr>
          <w:p w14:paraId="57FB5835" w14:textId="77777777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6" w:name="n119"/>
            <w:bookmarkEnd w:id="16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4030" w:type="dxa"/>
            <w:vAlign w:val="center"/>
            <w:hideMark/>
          </w:tcPr>
          <w:p w14:paraId="6073C830" w14:textId="77777777" w:rsidR="006710ED" w:rsidRPr="001A795A" w:rsidRDefault="006710ED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739" w:type="dxa"/>
            <w:vAlign w:val="center"/>
            <w:hideMark/>
          </w:tcPr>
          <w:p w14:paraId="54D3B898" w14:textId="77777777" w:rsidR="006710ED" w:rsidRPr="001A795A" w:rsidRDefault="006710ED" w:rsidP="001A795A">
            <w:pPr>
              <w:spacing w:after="0" w:line="240" w:lineRule="auto"/>
              <w:ind w:hanging="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1A795A" w:rsidRPr="003079AC" w14:paraId="52A27FF6" w14:textId="77777777" w:rsidTr="00B57ED5">
        <w:tc>
          <w:tcPr>
            <w:tcW w:w="1719" w:type="dxa"/>
            <w:vAlign w:val="center"/>
            <w:hideMark/>
          </w:tcPr>
          <w:p w14:paraId="75E818DB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4030" w:type="dxa"/>
            <w:vAlign w:val="center"/>
            <w:hideMark/>
          </w:tcPr>
          <w:p w14:paraId="640E7262" w14:textId="0786BEC6" w:rsidR="006710ED" w:rsidRPr="001A795A" w:rsidRDefault="00380F8D" w:rsidP="001A795A">
            <w:pPr>
              <w:spacing w:after="0" w:line="240" w:lineRule="auto"/>
              <w:ind w:firstLine="1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3739" w:type="dxa"/>
            <w:vAlign w:val="center"/>
            <w:hideMark/>
          </w:tcPr>
          <w:p w14:paraId="3A524DB6" w14:textId="6833A9D8" w:rsidR="00D91227" w:rsidRPr="001A795A" w:rsidRDefault="00380F8D" w:rsidP="001A795A">
            <w:pPr>
              <w:spacing w:after="0" w:line="240" w:lineRule="auto"/>
              <w:ind w:firstLine="125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умови </w:t>
            </w:r>
            <w:r w:rsidR="00D9122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продовження дії </w:t>
            </w:r>
            <w:r w:rsidR="00D91227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будуть порушуватися:</w:t>
            </w:r>
          </w:p>
          <w:p w14:paraId="42DF3BAF" w14:textId="52D6EE8E" w:rsidR="00C6708E" w:rsidRPr="001A795A" w:rsidRDefault="00D91227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розповсюдження </w:t>
            </w:r>
            <w:r w:rsidR="00EA5E8E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демонстрування фільмів, передбачені Законом та Положенням про Державний реєстр фільмів, затвердженим постановою КМУ від 10.10.2023 №1069, що призведе </w:t>
            </w:r>
            <w:r w:rsidR="004B7D13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відсутності бюджетного наповнення та справляння суб’єктами кінематографії сплати з</w:t>
            </w:r>
            <w:r w:rsidR="004B7D13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внесення фільму до Державного реєстру фільмів;</w:t>
            </w:r>
          </w:p>
          <w:p w14:paraId="1946F7F0" w14:textId="5E7A20FE" w:rsidR="006710ED" w:rsidRPr="001A795A" w:rsidRDefault="00EA5E8E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можливість </w:t>
            </w:r>
            <w:r w:rsidR="004B7D13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уповноваженими органами</w:t>
            </w:r>
            <w:r w:rsidR="004F4F1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заходів</w:t>
            </w:r>
            <w:r w:rsidR="004B7D13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80F8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контролю</w:t>
            </w:r>
            <w:r w:rsidR="004B7D13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дотриманням умов розповсюдження та демонстрування фільмів, що призведе до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порушення умов Закону та недотримання суб’єктами кінематографії квоти використання національного екранного часу</w:t>
            </w:r>
            <w:r w:rsidR="004F4F1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що, в свою чергу, призведе до неможливості притягнення </w:t>
            </w:r>
            <w:r w:rsidR="00977F7B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суб’єктів господарювання </w:t>
            </w:r>
            <w:r w:rsidR="004F4F1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адміністративної відповідальності, передбачено</w:t>
            </w:r>
            <w:r w:rsidR="00571A0C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="004F4F1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ст.</w:t>
            </w:r>
            <w:r w:rsidR="00977F7B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164</w:t>
            </w:r>
            <w:r w:rsidR="00977F7B" w:rsidRPr="001A79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8</w:t>
            </w:r>
            <w:r w:rsidR="00977F7B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КУпАП</w:t>
            </w:r>
          </w:p>
        </w:tc>
      </w:tr>
      <w:tr w:rsidR="00A81DA6" w:rsidRPr="001A795A" w14:paraId="7E97FF13" w14:textId="77777777" w:rsidTr="00B57ED5">
        <w:tc>
          <w:tcPr>
            <w:tcW w:w="1719" w:type="dxa"/>
            <w:vAlign w:val="center"/>
            <w:hideMark/>
          </w:tcPr>
          <w:p w14:paraId="3F13EF09" w14:textId="77777777" w:rsidR="006710ED" w:rsidRPr="001A795A" w:rsidRDefault="006710ED" w:rsidP="001A7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Альтернатива 2</w:t>
            </w:r>
          </w:p>
        </w:tc>
        <w:tc>
          <w:tcPr>
            <w:tcW w:w="4030" w:type="dxa"/>
            <w:vAlign w:val="center"/>
            <w:hideMark/>
          </w:tcPr>
          <w:p w14:paraId="12E45B13" w14:textId="77777777" w:rsidR="006710ED" w:rsidRPr="001A795A" w:rsidRDefault="00B2793B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DE2EA4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дотримання суб’єктами кінематографії умов розповсюдження та демонстрування фільмів (реалізація надання платної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E2EA4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адміністративної послуги, що призведе до наповнення державного бюджету), а також використання національного екранного часу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28E3B9D0" w14:textId="77777777" w:rsidR="00B2793B" w:rsidRPr="001A795A" w:rsidRDefault="00B2793B" w:rsidP="001A795A">
            <w:pPr>
              <w:spacing w:after="0" w:line="240" w:lineRule="auto"/>
              <w:ind w:firstLine="125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С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прияння виробництву фільмів в Україні, що призведе до:</w:t>
            </w:r>
          </w:p>
          <w:p w14:paraId="71B9151A" w14:textId="77777777" w:rsidR="00B2793B" w:rsidRPr="001A795A" w:rsidRDefault="00B2793B" w:rsidP="001A795A">
            <w:pPr>
              <w:spacing w:after="0" w:line="240" w:lineRule="auto"/>
              <w:ind w:firstLine="125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збільшення робочих місць;</w:t>
            </w:r>
          </w:p>
          <w:p w14:paraId="5631BFFD" w14:textId="4792155F" w:rsidR="00D6555E" w:rsidRPr="001A795A" w:rsidRDefault="00B2793B" w:rsidP="001A795A">
            <w:pPr>
              <w:spacing w:after="0" w:line="240" w:lineRule="auto"/>
              <w:ind w:firstLine="125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іміджевого розвитку України на міжнародній арені шляхом представлення українських фільмів на кінофестивалях та забезпечення доступу</w:t>
            </w:r>
            <w:r w:rsidR="00D6555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українських 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фільмів </w:t>
            </w:r>
            <w:r w:rsidR="00D6555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іноземних платформ, що здійснюють демонстрування аудіовізуальних творів</w:t>
            </w:r>
            <w:r w:rsidR="00D6555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7AC610F8" w14:textId="55AA2AFF" w:rsidR="00B2793B" w:rsidRPr="001A795A" w:rsidRDefault="00D6555E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збільшення кількості фільмів, створених за державної підтримки, що, в свою чергу, призведе до отримання прибутків від використання майнових прав інтелекту</w:t>
            </w:r>
            <w:r w:rsidR="009A3F9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льної вла</w:t>
            </w:r>
            <w:r w:rsidR="009A3F9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сності 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держави на вироблені фільми</w:t>
            </w:r>
            <w:r w:rsidR="009A3F9E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та, відповідно, до додаткового наповнення бюджету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2793B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739" w:type="dxa"/>
            <w:vAlign w:val="center"/>
            <w:hideMark/>
          </w:tcPr>
          <w:p w14:paraId="1B85FF18" w14:textId="48A1D8B1" w:rsidR="003F567E" w:rsidRPr="001A795A" w:rsidRDefault="003F567E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акта не потребує фінансування з державного чи місцев</w:t>
            </w:r>
            <w:r w:rsidR="00D63627"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1A7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бюджетів</w:t>
            </w:r>
          </w:p>
        </w:tc>
      </w:tr>
    </w:tbl>
    <w:p w14:paraId="2F550B8D" w14:textId="77777777" w:rsidR="00E239A2" w:rsidRPr="001A795A" w:rsidRDefault="00E239A2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7" w:name="n120"/>
      <w:bookmarkStart w:id="18" w:name="n130"/>
      <w:bookmarkStart w:id="19" w:name="n131"/>
      <w:bookmarkStart w:id="20" w:name="n132"/>
      <w:bookmarkStart w:id="21" w:name="n141"/>
      <w:bookmarkEnd w:id="17"/>
      <w:bookmarkEnd w:id="18"/>
      <w:bookmarkEnd w:id="19"/>
      <w:bookmarkEnd w:id="20"/>
      <w:bookmarkEnd w:id="21"/>
    </w:p>
    <w:p w14:paraId="4731078F" w14:textId="51AE85EF" w:rsidR="00B57ED5" w:rsidRPr="001A795A" w:rsidRDefault="00B57ED5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Оцінка впливу на сферу </w:t>
      </w: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інтересів громадян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прямого впливу на сферу інтересів громадян немає.</w:t>
      </w:r>
    </w:p>
    <w:p w14:paraId="2580582C" w14:textId="77777777" w:rsidR="00E239A2" w:rsidRPr="001A795A" w:rsidRDefault="00E239A2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E4D5FB" w14:textId="6CA8DF03" w:rsidR="0061142A" w:rsidRPr="001A795A" w:rsidRDefault="006710ED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Оцінка впливу на сферу </w:t>
      </w: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інтересів суб’єктів господарювання</w:t>
      </w:r>
      <w:r w:rsidR="0061142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</w:t>
      </w:r>
      <w:r w:rsidR="001E5567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ередбачається, що проєкт акт</w:t>
      </w:r>
      <w:r w:rsidR="0044341C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E5567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16E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буде</w:t>
      </w:r>
      <w:r w:rsidR="001E5567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поширюватися на </w:t>
      </w:r>
      <w:r w:rsidR="009416EA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суб’єктів кінематографії, які здійснюють демонстрування (публічний показ) фільму. </w:t>
      </w:r>
    </w:p>
    <w:p w14:paraId="3C0B9275" w14:textId="52D50138" w:rsidR="001E5567" w:rsidRPr="001A795A" w:rsidRDefault="009416EA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Враховуючи відсутність єдиної бази</w:t>
      </w:r>
      <w:r w:rsidR="00D209E6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/системи</w:t>
      </w:r>
      <w:r w:rsidR="002B3BB6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/реєстру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як</w:t>
      </w:r>
      <w:r w:rsidR="002B3BB6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 містил</w:t>
      </w:r>
      <w:r w:rsidR="002B3BB6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7309F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реальну 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інформацію про кількість кінотеатрів, які наразі функціонують, </w:t>
      </w:r>
      <w:r w:rsidR="001F6278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Державне агентство України з питань кіно не володіє точними даними щодо кількості 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суб’єктів господарювання, що підпадають під дію регулювання. Саме тому, використовуються </w:t>
      </w: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>наявні у Держкіно дані щодо середньо-облікової кількості демонстраторів за 2020-2023 роки згідно форми звітності №</w:t>
      </w:r>
      <w:r w:rsidR="0061142A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 </w:t>
      </w: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>К-2-рвк (2) «Зведений звіт про наявність та діяльність демонстраторів фільмів»</w:t>
      </w:r>
      <w:r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затвердженої </w:t>
      </w:r>
      <w:r w:rsidR="00024A28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наказом Міністерства культури і мистецтв України від 13 грудня 2004 року № 853 (зареєстрований у Міністерстві юстиції України 09 лютого 2005 року за 3 191/10471)</w:t>
      </w:r>
      <w:r w:rsidR="001F6278" w:rsidRPr="001A795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</w:p>
    <w:tbl>
      <w:tblPr>
        <w:tblW w:w="49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959"/>
        <w:gridCol w:w="1102"/>
        <w:gridCol w:w="767"/>
        <w:gridCol w:w="941"/>
        <w:gridCol w:w="960"/>
      </w:tblGrid>
      <w:tr w:rsidR="001A795A" w:rsidRPr="001A795A" w14:paraId="14AAC32E" w14:textId="77777777" w:rsidTr="00E239A2">
        <w:tc>
          <w:tcPr>
            <w:tcW w:w="2503" w:type="pct"/>
            <w:vAlign w:val="center"/>
            <w:hideMark/>
          </w:tcPr>
          <w:p w14:paraId="1E1D4D7A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2" w:name="n142"/>
            <w:bookmarkEnd w:id="22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506" w:type="pct"/>
            <w:vAlign w:val="center"/>
            <w:hideMark/>
          </w:tcPr>
          <w:p w14:paraId="6531F099" w14:textId="77777777" w:rsidR="006710ED" w:rsidRPr="001A795A" w:rsidRDefault="006710ED" w:rsidP="001A795A">
            <w:pPr>
              <w:spacing w:after="0" w:line="240" w:lineRule="auto"/>
              <w:ind w:right="129" w:firstLine="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Великі</w:t>
            </w:r>
          </w:p>
        </w:tc>
        <w:tc>
          <w:tcPr>
            <w:tcW w:w="582" w:type="pct"/>
            <w:vAlign w:val="center"/>
            <w:hideMark/>
          </w:tcPr>
          <w:p w14:paraId="47E80F06" w14:textId="77777777" w:rsidR="006710ED" w:rsidRPr="001A795A" w:rsidRDefault="006710ED" w:rsidP="001A795A">
            <w:pPr>
              <w:spacing w:after="0" w:line="240" w:lineRule="auto"/>
              <w:ind w:right="180" w:firstLine="6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</w:t>
            </w:r>
          </w:p>
        </w:tc>
        <w:tc>
          <w:tcPr>
            <w:tcW w:w="405" w:type="pct"/>
            <w:vAlign w:val="center"/>
            <w:hideMark/>
          </w:tcPr>
          <w:p w14:paraId="2C95332C" w14:textId="77777777" w:rsidR="006710ED" w:rsidRPr="001A795A" w:rsidRDefault="006710ED" w:rsidP="001A795A">
            <w:pPr>
              <w:spacing w:after="0" w:line="240" w:lineRule="auto"/>
              <w:ind w:right="140" w:firstLine="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Малі</w:t>
            </w:r>
          </w:p>
        </w:tc>
        <w:tc>
          <w:tcPr>
            <w:tcW w:w="497" w:type="pct"/>
            <w:vAlign w:val="center"/>
            <w:hideMark/>
          </w:tcPr>
          <w:p w14:paraId="72D8D83A" w14:textId="77777777" w:rsidR="006710ED" w:rsidRPr="001A795A" w:rsidRDefault="006710ED" w:rsidP="001A795A">
            <w:pPr>
              <w:spacing w:after="0" w:line="240" w:lineRule="auto"/>
              <w:ind w:right="166" w:firstLine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</w:t>
            </w:r>
          </w:p>
        </w:tc>
        <w:tc>
          <w:tcPr>
            <w:tcW w:w="507" w:type="pct"/>
            <w:vAlign w:val="center"/>
            <w:hideMark/>
          </w:tcPr>
          <w:p w14:paraId="03EC2096" w14:textId="77777777" w:rsidR="006710ED" w:rsidRPr="001A795A" w:rsidRDefault="006710ED" w:rsidP="001A795A">
            <w:pPr>
              <w:spacing w:after="0" w:line="240" w:lineRule="auto"/>
              <w:ind w:right="180" w:firstLine="1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1A795A" w:rsidRPr="001A795A" w14:paraId="43550D10" w14:textId="77777777" w:rsidTr="00E239A2">
        <w:tc>
          <w:tcPr>
            <w:tcW w:w="2503" w:type="pct"/>
            <w:vAlign w:val="center"/>
            <w:hideMark/>
          </w:tcPr>
          <w:p w14:paraId="760E8763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506" w:type="pct"/>
            <w:vAlign w:val="center"/>
            <w:hideMark/>
          </w:tcPr>
          <w:p w14:paraId="266CCC57" w14:textId="70430A75" w:rsidR="006710ED" w:rsidRPr="001A795A" w:rsidRDefault="0066342D" w:rsidP="001A795A">
            <w:pPr>
              <w:spacing w:after="0" w:line="240" w:lineRule="auto"/>
              <w:ind w:firstLine="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82" w:type="pct"/>
            <w:vAlign w:val="center"/>
            <w:hideMark/>
          </w:tcPr>
          <w:p w14:paraId="36E7E452" w14:textId="56F51B7F" w:rsidR="006710ED" w:rsidRPr="001A795A" w:rsidRDefault="0066342D" w:rsidP="001A795A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5" w:type="pct"/>
            <w:vAlign w:val="center"/>
            <w:hideMark/>
          </w:tcPr>
          <w:p w14:paraId="792EF8E6" w14:textId="142CADAF" w:rsidR="006710ED" w:rsidRPr="001A795A" w:rsidRDefault="0066342D" w:rsidP="001A795A">
            <w:pPr>
              <w:spacing w:after="0" w:line="240" w:lineRule="auto"/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vAlign w:val="center"/>
            <w:hideMark/>
          </w:tcPr>
          <w:p w14:paraId="1A0F8AF7" w14:textId="59946425" w:rsidR="006710ED" w:rsidRPr="001A795A" w:rsidRDefault="00F23D98" w:rsidP="001A795A">
            <w:pPr>
              <w:spacing w:after="0" w:line="240" w:lineRule="auto"/>
              <w:ind w:firstLine="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  <w:tc>
          <w:tcPr>
            <w:tcW w:w="507" w:type="pct"/>
            <w:vAlign w:val="center"/>
            <w:hideMark/>
          </w:tcPr>
          <w:p w14:paraId="6152DF80" w14:textId="4C11EC31" w:rsidR="006710ED" w:rsidRPr="001A795A" w:rsidRDefault="00F23D98" w:rsidP="001A795A">
            <w:pPr>
              <w:spacing w:after="0" w:line="240" w:lineRule="auto"/>
              <w:ind w:firstLine="1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</w:tr>
      <w:tr w:rsidR="001A795A" w:rsidRPr="001A795A" w14:paraId="77527DC5" w14:textId="77777777" w:rsidTr="00E239A2">
        <w:tc>
          <w:tcPr>
            <w:tcW w:w="2503" w:type="pct"/>
            <w:vAlign w:val="center"/>
            <w:hideMark/>
          </w:tcPr>
          <w:p w14:paraId="30E2F74E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Питома вага групи у загальній кількості, відсотків</w:t>
            </w:r>
          </w:p>
        </w:tc>
        <w:tc>
          <w:tcPr>
            <w:tcW w:w="506" w:type="pct"/>
            <w:vAlign w:val="center"/>
            <w:hideMark/>
          </w:tcPr>
          <w:p w14:paraId="0E3632AC" w14:textId="110FBE30" w:rsidR="006710ED" w:rsidRPr="001A795A" w:rsidRDefault="0066342D" w:rsidP="001A795A">
            <w:pPr>
              <w:spacing w:after="0" w:line="240" w:lineRule="auto"/>
              <w:ind w:firstLine="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82" w:type="pct"/>
            <w:vAlign w:val="center"/>
            <w:hideMark/>
          </w:tcPr>
          <w:p w14:paraId="5042A0F6" w14:textId="23FFDFFA" w:rsidR="006710ED" w:rsidRPr="001A795A" w:rsidRDefault="0066342D" w:rsidP="001A795A">
            <w:pPr>
              <w:spacing w:after="0" w:line="240" w:lineRule="auto"/>
              <w:ind w:firstLine="6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5" w:type="pct"/>
            <w:vAlign w:val="center"/>
            <w:hideMark/>
          </w:tcPr>
          <w:p w14:paraId="2725EB37" w14:textId="2A403790" w:rsidR="006710ED" w:rsidRPr="001A795A" w:rsidRDefault="0066342D" w:rsidP="001A795A">
            <w:pPr>
              <w:spacing w:after="0" w:line="240" w:lineRule="auto"/>
              <w:ind w:firstLine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vAlign w:val="center"/>
            <w:hideMark/>
          </w:tcPr>
          <w:p w14:paraId="74BD5B65" w14:textId="429A3971" w:rsidR="006710ED" w:rsidRPr="001A795A" w:rsidRDefault="001E556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07" w:type="pct"/>
            <w:vAlign w:val="center"/>
            <w:hideMark/>
          </w:tcPr>
          <w:p w14:paraId="1F68174C" w14:textId="6C8BDF09" w:rsidR="006710ED" w:rsidRPr="001A795A" w:rsidRDefault="0066342D" w:rsidP="001A795A">
            <w:pPr>
              <w:spacing w:after="0" w:line="240" w:lineRule="auto"/>
              <w:ind w:firstLine="13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838"/>
        <w:gridCol w:w="2539"/>
        <w:gridCol w:w="5116"/>
      </w:tblGrid>
      <w:tr w:rsidR="001A795A" w:rsidRPr="001A795A" w14:paraId="14FF6388" w14:textId="77777777" w:rsidTr="008112E0">
        <w:tc>
          <w:tcPr>
            <w:tcW w:w="1838" w:type="dxa"/>
            <w:vAlign w:val="center"/>
          </w:tcPr>
          <w:p w14:paraId="2606F7D6" w14:textId="701855CB" w:rsidR="001E5567" w:rsidRPr="001A795A" w:rsidRDefault="001E556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3" w:name="n143"/>
            <w:bookmarkStart w:id="24" w:name="n144"/>
            <w:bookmarkEnd w:id="23"/>
            <w:bookmarkEnd w:id="24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2539" w:type="dxa"/>
            <w:vAlign w:val="center"/>
          </w:tcPr>
          <w:p w14:paraId="745E828A" w14:textId="70A02EAD" w:rsidR="001E5567" w:rsidRPr="001A795A" w:rsidRDefault="001E556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5116" w:type="dxa"/>
            <w:vAlign w:val="center"/>
          </w:tcPr>
          <w:p w14:paraId="68C2D201" w14:textId="4C2B8C45" w:rsidR="001E5567" w:rsidRPr="001A795A" w:rsidRDefault="001E556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1A795A" w:rsidRPr="003079AC" w14:paraId="7C7729DE" w14:textId="77777777" w:rsidTr="008112E0">
        <w:tc>
          <w:tcPr>
            <w:tcW w:w="1838" w:type="dxa"/>
            <w:vAlign w:val="center"/>
          </w:tcPr>
          <w:p w14:paraId="249A12DA" w14:textId="71D353EF" w:rsidR="001E5567" w:rsidRPr="001A795A" w:rsidRDefault="001E5567" w:rsidP="001A79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Альтернатива 1</w:t>
            </w:r>
          </w:p>
        </w:tc>
        <w:tc>
          <w:tcPr>
            <w:tcW w:w="2539" w:type="dxa"/>
            <w:vAlign w:val="center"/>
          </w:tcPr>
          <w:p w14:paraId="45D202BF" w14:textId="0E2BF84A" w:rsidR="00412BEC" w:rsidRPr="001A795A" w:rsidRDefault="001E5567" w:rsidP="001A79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5116" w:type="dxa"/>
            <w:vAlign w:val="center"/>
          </w:tcPr>
          <w:p w14:paraId="1D277C1C" w14:textId="7082867E" w:rsidR="00286526" w:rsidRPr="001A795A" w:rsidRDefault="00F74ED9" w:rsidP="001A795A">
            <w:pPr>
              <w:ind w:firstLine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286526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Додаткове навантаження у вигляді </w:t>
            </w:r>
            <w:r w:rsidR="00C8378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</w:t>
            </w:r>
            <w:r w:rsidR="00286526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5E0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значної </w:t>
            </w:r>
            <w:r w:rsidR="00286526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кількості робочого часу </w:t>
            </w:r>
            <w:r w:rsidR="00FD47B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формування та подання застарілої звітності (наказ Міністерства культури і туризму України від 15.07.2009 № 34 «Про затвердження форм звітності з питань використання національного екранного часу та інст</w:t>
            </w:r>
            <w:r w:rsidR="000073B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FD47B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073B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FD47B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цій щодо їх заповнення», зареєстрований в Міністерстві юстиції України від 04.08.2009 за № 727/16743)</w:t>
            </w:r>
            <w:r w:rsidR="000073B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02A0267" w14:textId="755A6C34" w:rsidR="00F74ED9" w:rsidRPr="001A795A" w:rsidRDefault="00F74ED9" w:rsidP="001A795A">
            <w:pPr>
              <w:ind w:firstLine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915E0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Додаткові витрати, пов’язані з 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накладення</w:t>
            </w:r>
            <w:r w:rsidR="00915E0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господарських штрафів та, відповідно, притягнення до адміністративної відповідальності за порушення умов розповсюдження та демонстрування фільмів, адже діючим Положенням </w:t>
            </w:r>
            <w:r w:rsidR="00915E0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передбачається, що телерадіоорганізації</w:t>
            </w:r>
            <w:r w:rsidR="00C8378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915E0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демонстратори фільмів, які не є телерадіоорганізаціями, повинні мати державне посвідчення на право розповсюдження і демонстрування фільмів. </w:t>
            </w:r>
          </w:p>
          <w:p w14:paraId="24C03327" w14:textId="4A209B9B" w:rsidR="001E5567" w:rsidRPr="001A795A" w:rsidRDefault="00915E0F" w:rsidP="001A795A">
            <w:pPr>
              <w:ind w:firstLine="1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Наголошуємо, шо вимога щодо необхідності оформлення посвідчення на право розповсюдження і демонстрування фільмів втратила чинність на підставі Закону України «Про медіа», яким</w:t>
            </w:r>
            <w:r w:rsidR="00EB267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серед іншого,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внесен</w:t>
            </w:r>
            <w:r w:rsidR="00170C20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зміни до статті 15 Закону</w:t>
            </w:r>
            <w:r w:rsidR="00EB267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відповідно до якої кінотеатри, кіноустановки, </w:t>
            </w:r>
            <w:proofErr w:type="spellStart"/>
            <w:r w:rsidR="00EB267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відеоустановки</w:t>
            </w:r>
            <w:proofErr w:type="spellEnd"/>
            <w:r w:rsidR="00EB267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медіа мають право на демонстрування національних та іноземних фільмів за умови внесення фільму до Державного реєстру фільмів</w:t>
            </w:r>
            <w:r w:rsidR="00C8378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6758E" w:rsidRPr="001A795A" w14:paraId="4BEFCDCC" w14:textId="77777777" w:rsidTr="008112E0">
        <w:tc>
          <w:tcPr>
            <w:tcW w:w="1838" w:type="dxa"/>
            <w:vAlign w:val="center"/>
          </w:tcPr>
          <w:p w14:paraId="028E2D87" w14:textId="5347E944" w:rsidR="001E5567" w:rsidRPr="001A795A" w:rsidRDefault="001E5567" w:rsidP="001A79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2539" w:type="dxa"/>
            <w:vAlign w:val="center"/>
          </w:tcPr>
          <w:p w14:paraId="23753B88" w14:textId="1B9AE0E7" w:rsidR="008112E0" w:rsidRPr="001A795A" w:rsidRDefault="008112E0" w:rsidP="001A795A">
            <w:pPr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часових та фінансових витрат для формування та подання застарілої звітності, а також для врегулювання питань, пов’язаних з умовами розповсюдження та демонстрування фільмів</w:t>
            </w:r>
          </w:p>
        </w:tc>
        <w:tc>
          <w:tcPr>
            <w:tcW w:w="5116" w:type="dxa"/>
            <w:shd w:val="clear" w:color="auto" w:fill="auto"/>
            <w:vAlign w:val="center"/>
          </w:tcPr>
          <w:p w14:paraId="63799FAE" w14:textId="1A12BD42" w:rsidR="00663B93" w:rsidRPr="001A795A" w:rsidRDefault="00D222F7" w:rsidP="001A795A">
            <w:pPr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Витрати, пов’язані зі складанням та поданням оновленої звітності </w:t>
            </w:r>
          </w:p>
        </w:tc>
      </w:tr>
    </w:tbl>
    <w:p w14:paraId="64642F0A" w14:textId="77777777" w:rsidR="00A26BCF" w:rsidRPr="001A795A" w:rsidRDefault="00A26BCF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25" w:name="n149"/>
      <w:bookmarkStart w:id="26" w:name="n151"/>
      <w:bookmarkEnd w:id="25"/>
      <w:bookmarkEnd w:id="26"/>
    </w:p>
    <w:p w14:paraId="651B2B92" w14:textId="64D5427A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IV. Вибір найбільш оптимального альтернативного способу досягнення цілей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972"/>
        <w:gridCol w:w="1972"/>
        <w:gridCol w:w="5549"/>
      </w:tblGrid>
      <w:tr w:rsidR="001A795A" w:rsidRPr="001A795A" w14:paraId="35C5DE81" w14:textId="77777777" w:rsidTr="006016CD">
        <w:tc>
          <w:tcPr>
            <w:tcW w:w="1972" w:type="dxa"/>
            <w:vAlign w:val="center"/>
          </w:tcPr>
          <w:p w14:paraId="13CD8A78" w14:textId="2A235C4F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7" w:name="n152"/>
            <w:bookmarkEnd w:id="27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Рейтинг результативності</w:t>
            </w:r>
          </w:p>
        </w:tc>
        <w:tc>
          <w:tcPr>
            <w:tcW w:w="1972" w:type="dxa"/>
            <w:vAlign w:val="center"/>
          </w:tcPr>
          <w:p w14:paraId="4F45EAC5" w14:textId="44909E62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 результативності</w:t>
            </w:r>
          </w:p>
        </w:tc>
        <w:tc>
          <w:tcPr>
            <w:tcW w:w="5549" w:type="dxa"/>
            <w:vAlign w:val="center"/>
          </w:tcPr>
          <w:p w14:paraId="484C64DA" w14:textId="790F2D82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Коментарі щодо присвоєння відповідного </w:t>
            </w:r>
            <w:proofErr w:type="spellStart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</w:t>
            </w:r>
            <w:proofErr w:type="spellEnd"/>
          </w:p>
        </w:tc>
      </w:tr>
      <w:tr w:rsidR="001A795A" w:rsidRPr="001A795A" w14:paraId="02AA9EFD" w14:textId="77777777" w:rsidTr="006016CD">
        <w:tc>
          <w:tcPr>
            <w:tcW w:w="1972" w:type="dxa"/>
            <w:vAlign w:val="center"/>
          </w:tcPr>
          <w:p w14:paraId="02F5D681" w14:textId="5651C4C5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1972" w:type="dxa"/>
            <w:vAlign w:val="center"/>
          </w:tcPr>
          <w:p w14:paraId="2C32CBF6" w14:textId="19F68CD0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49" w:type="dxa"/>
            <w:vAlign w:val="center"/>
          </w:tcPr>
          <w:p w14:paraId="33C75F95" w14:textId="2284D9D6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Мінімальний бал, який свідчить про неможливість досягнення цілі державного регулювання</w:t>
            </w:r>
          </w:p>
        </w:tc>
      </w:tr>
      <w:tr w:rsidR="00411801" w:rsidRPr="001A795A" w14:paraId="228B20FB" w14:textId="77777777" w:rsidTr="006016CD">
        <w:tc>
          <w:tcPr>
            <w:tcW w:w="1972" w:type="dxa"/>
            <w:vAlign w:val="center"/>
          </w:tcPr>
          <w:p w14:paraId="66A20ACD" w14:textId="5DA5AB26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1972" w:type="dxa"/>
            <w:vAlign w:val="center"/>
          </w:tcPr>
          <w:p w14:paraId="718551D5" w14:textId="37A3CACA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49" w:type="dxa"/>
            <w:vAlign w:val="center"/>
          </w:tcPr>
          <w:p w14:paraId="22A156C9" w14:textId="21A77622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Максимальний бал, який свідчить про можливість максимального досягнення цілі державного регулювання</w:t>
            </w:r>
          </w:p>
        </w:tc>
      </w:tr>
    </w:tbl>
    <w:p w14:paraId="3D137CA0" w14:textId="2F5EC566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9427" w:type="dxa"/>
        <w:tblLook w:val="04A0" w:firstRow="1" w:lastRow="0" w:firstColumn="1" w:lastColumn="0" w:noHBand="0" w:noVBand="1"/>
      </w:tblPr>
      <w:tblGrid>
        <w:gridCol w:w="1972"/>
        <w:gridCol w:w="3410"/>
        <w:gridCol w:w="2268"/>
        <w:gridCol w:w="1777"/>
      </w:tblGrid>
      <w:tr w:rsidR="001A795A" w:rsidRPr="001A795A" w14:paraId="3421CD7F" w14:textId="77777777" w:rsidTr="00DF1D06">
        <w:tc>
          <w:tcPr>
            <w:tcW w:w="1972" w:type="dxa"/>
            <w:vAlign w:val="center"/>
          </w:tcPr>
          <w:p w14:paraId="567AC37D" w14:textId="1ACC1EE9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Рейтинг результативності</w:t>
            </w:r>
          </w:p>
        </w:tc>
        <w:tc>
          <w:tcPr>
            <w:tcW w:w="3410" w:type="dxa"/>
            <w:vAlign w:val="center"/>
          </w:tcPr>
          <w:p w14:paraId="3EAA680E" w14:textId="23CA8672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 (підсумок)</w:t>
            </w:r>
          </w:p>
        </w:tc>
        <w:tc>
          <w:tcPr>
            <w:tcW w:w="2268" w:type="dxa"/>
            <w:vAlign w:val="center"/>
          </w:tcPr>
          <w:p w14:paraId="2A66AC2A" w14:textId="2B9486ED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(підсумок)</w:t>
            </w:r>
          </w:p>
        </w:tc>
        <w:tc>
          <w:tcPr>
            <w:tcW w:w="1777" w:type="dxa"/>
            <w:vAlign w:val="center"/>
          </w:tcPr>
          <w:p w14:paraId="3FE7A13F" w14:textId="7C08FED2" w:rsidR="00FC1E17" w:rsidRPr="001A795A" w:rsidRDefault="00FC1E17" w:rsidP="001A79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1A795A" w:rsidRPr="001A795A" w14:paraId="307C93FF" w14:textId="77777777" w:rsidTr="00DF1D06">
        <w:tc>
          <w:tcPr>
            <w:tcW w:w="1972" w:type="dxa"/>
            <w:vAlign w:val="center"/>
          </w:tcPr>
          <w:p w14:paraId="0FD5524A" w14:textId="50385224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3410" w:type="dxa"/>
            <w:vAlign w:val="center"/>
          </w:tcPr>
          <w:p w14:paraId="05C2897F" w14:textId="544FC502" w:rsidR="00FC1E17" w:rsidRPr="001A795A" w:rsidRDefault="00FC1E17" w:rsidP="001A795A">
            <w:pPr>
              <w:ind w:firstLine="1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2268" w:type="dxa"/>
            <w:vAlign w:val="center"/>
          </w:tcPr>
          <w:p w14:paraId="2D151DB1" w14:textId="77777777" w:rsidR="00A80D2A" w:rsidRPr="001A795A" w:rsidRDefault="00D4476D" w:rsidP="001A795A">
            <w:pPr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Прямі витрати в</w:t>
            </w:r>
            <w:r w:rsidR="00FC1E17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ідсутні</w:t>
            </w:r>
            <w:r w:rsidR="00A80D2A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32191D9" w14:textId="286E5DE7" w:rsidR="00FC1E17" w:rsidRPr="001A795A" w:rsidRDefault="00A80D2A" w:rsidP="001A795A">
            <w:pPr>
              <w:ind w:firstLine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явні </w:t>
            </w:r>
            <w:r w:rsidR="00D30471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можливі витрати, пов’язані з порушенням 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 розповс</w:t>
            </w:r>
            <w:r w:rsidR="00AA7568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юд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ження та демонстрування фільмів</w:t>
            </w:r>
          </w:p>
        </w:tc>
        <w:tc>
          <w:tcPr>
            <w:tcW w:w="1777" w:type="dxa"/>
            <w:vAlign w:val="center"/>
          </w:tcPr>
          <w:p w14:paraId="09E4FAF7" w14:textId="7AC8DB3B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Найменш ефективний у розв’язанні існуючої проблеми</w:t>
            </w:r>
          </w:p>
        </w:tc>
      </w:tr>
      <w:tr w:rsidR="00DA4FD1" w:rsidRPr="001A795A" w14:paraId="25F5899A" w14:textId="77777777" w:rsidTr="00DF1D06">
        <w:tc>
          <w:tcPr>
            <w:tcW w:w="1972" w:type="dxa"/>
            <w:vAlign w:val="center"/>
          </w:tcPr>
          <w:p w14:paraId="3646754E" w14:textId="1BB405EC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3410" w:type="dxa"/>
            <w:vAlign w:val="center"/>
          </w:tcPr>
          <w:p w14:paraId="480EF8BE" w14:textId="32409E01" w:rsidR="00FC1E17" w:rsidRPr="001A795A" w:rsidRDefault="00FC1E17" w:rsidP="001A795A">
            <w:pPr>
              <w:ind w:firstLine="1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Обраний спосіб забезпеч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ить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досягнення мети державного регулювання, а саме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476D" w:rsidRPr="001A7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сприятиме виробництву фільмів в Україні, а також доступу глядачів до перегляду творів національної кінематографічної спадщини</w:t>
            </w:r>
            <w:r w:rsidR="00D4476D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шляхом приведення підзаконних нормативно-правових актів у відповідність до вимог Закону щодо умов розповсюдження та демонстрування фільмів, а також встановлення єдиного підходу для здійснення заходів контролю за використанням національного екранного часу</w:t>
            </w:r>
          </w:p>
        </w:tc>
        <w:tc>
          <w:tcPr>
            <w:tcW w:w="2268" w:type="dxa"/>
            <w:vAlign w:val="center"/>
          </w:tcPr>
          <w:p w14:paraId="0AEDB1B4" w14:textId="77777777" w:rsidR="00FC1E17" w:rsidRPr="001A795A" w:rsidRDefault="00DA4FD1" w:rsidP="001A795A">
            <w:pPr>
              <w:ind w:firstLine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Реалізація норм проєкту акта здійснюватиметься державними органами в межах асигнувань, передбачених у бюджеті.</w:t>
            </w:r>
          </w:p>
          <w:p w14:paraId="01696ED6" w14:textId="5B71ACAE" w:rsidR="00DA4FD1" w:rsidRPr="001A795A" w:rsidRDefault="00DA4FD1" w:rsidP="001A795A">
            <w:pPr>
              <w:ind w:firstLine="1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Суб’єктами господарювання  будуть нестися в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итрати, пов’язані зі складанням та поданням оновленої звітності</w:t>
            </w:r>
          </w:p>
        </w:tc>
        <w:tc>
          <w:tcPr>
            <w:tcW w:w="1777" w:type="dxa"/>
            <w:vAlign w:val="center"/>
          </w:tcPr>
          <w:p w14:paraId="44CDCB1A" w14:textId="0DD8D81B" w:rsidR="00FC1E17" w:rsidRPr="001A795A" w:rsidRDefault="00FC1E17" w:rsidP="001A79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Найбільш ефективний у розв’язанні існуючої проблеми</w:t>
            </w:r>
          </w:p>
        </w:tc>
      </w:tr>
    </w:tbl>
    <w:p w14:paraId="2F4D1A04" w14:textId="77777777" w:rsidR="00FC13E1" w:rsidRPr="001A795A" w:rsidRDefault="00FC13E1" w:rsidP="001A79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7A4E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  <w:bookmarkStart w:id="28" w:name="n158"/>
      <w:bookmarkStart w:id="29" w:name="n160"/>
      <w:bookmarkEnd w:id="28"/>
      <w:bookmarkEnd w:id="29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5850"/>
        <w:gridCol w:w="1790"/>
      </w:tblGrid>
      <w:tr w:rsidR="001A795A" w:rsidRPr="001A795A" w14:paraId="2AAD3EEF" w14:textId="77777777" w:rsidTr="006040BD">
        <w:tc>
          <w:tcPr>
            <w:tcW w:w="971" w:type="pct"/>
            <w:vAlign w:val="center"/>
            <w:hideMark/>
          </w:tcPr>
          <w:p w14:paraId="06DDB238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Рейтинг</w:t>
            </w:r>
          </w:p>
        </w:tc>
        <w:tc>
          <w:tcPr>
            <w:tcW w:w="3084" w:type="pct"/>
            <w:vAlign w:val="center"/>
            <w:hideMark/>
          </w:tcPr>
          <w:p w14:paraId="020AC472" w14:textId="77777777" w:rsidR="006710ED" w:rsidRPr="001A795A" w:rsidRDefault="006710ED" w:rsidP="001A795A">
            <w:pPr>
              <w:spacing w:after="0" w:line="240" w:lineRule="auto"/>
              <w:ind w:firstLine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944" w:type="pct"/>
            <w:vAlign w:val="center"/>
            <w:hideMark/>
          </w:tcPr>
          <w:p w14:paraId="721F026F" w14:textId="77777777" w:rsidR="006710ED" w:rsidRPr="001A795A" w:rsidRDefault="006710ED" w:rsidP="001A795A">
            <w:pPr>
              <w:spacing w:after="0" w:line="240" w:lineRule="auto"/>
              <w:ind w:firstLine="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1A795A" w:rsidRPr="001A795A" w14:paraId="721B599C" w14:textId="77777777" w:rsidTr="006040BD">
        <w:tc>
          <w:tcPr>
            <w:tcW w:w="971" w:type="pct"/>
            <w:vAlign w:val="center"/>
            <w:hideMark/>
          </w:tcPr>
          <w:p w14:paraId="535422E0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</w:tc>
        <w:tc>
          <w:tcPr>
            <w:tcW w:w="3084" w:type="pct"/>
            <w:vAlign w:val="center"/>
            <w:hideMark/>
          </w:tcPr>
          <w:p w14:paraId="5DCAD339" w14:textId="31F26C24" w:rsidR="006710ED" w:rsidRPr="001A795A" w:rsidRDefault="00C93172" w:rsidP="001A795A">
            <w:pPr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Зазначений спосіб є неприйнятним, оскільки </w:t>
            </w:r>
            <w:r w:rsidR="00E105BE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Положення суперечить вимог</w:t>
            </w:r>
            <w:r w:rsidR="00C8111A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r w:rsidR="00E105BE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законодавства 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щодо умов розповсюдження та демонстрування національних та іноземних фільмів</w:t>
            </w:r>
            <w:r w:rsidR="00E105BE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а також використання національного екранного часу</w:t>
            </w:r>
          </w:p>
        </w:tc>
        <w:tc>
          <w:tcPr>
            <w:tcW w:w="944" w:type="pct"/>
            <w:vAlign w:val="center"/>
            <w:hideMark/>
          </w:tcPr>
          <w:p w14:paraId="49162878" w14:textId="60162408" w:rsidR="006710ED" w:rsidRPr="001A795A" w:rsidRDefault="006040BD" w:rsidP="001A795A">
            <w:pPr>
              <w:spacing w:after="0" w:line="240" w:lineRule="auto"/>
              <w:ind w:firstLine="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зовнішніх чинників на дію проєкту акту не очікується</w:t>
            </w:r>
          </w:p>
        </w:tc>
      </w:tr>
      <w:tr w:rsidR="00411801" w:rsidRPr="001A795A" w14:paraId="34DEC164" w14:textId="77777777" w:rsidTr="006040BD">
        <w:tc>
          <w:tcPr>
            <w:tcW w:w="971" w:type="pct"/>
            <w:vAlign w:val="center"/>
            <w:hideMark/>
          </w:tcPr>
          <w:p w14:paraId="1E49A398" w14:textId="77777777" w:rsidR="006710ED" w:rsidRPr="001A795A" w:rsidRDefault="006710ED" w:rsidP="001A795A">
            <w:pPr>
              <w:spacing w:after="0" w:line="240" w:lineRule="auto"/>
              <w:ind w:firstLine="1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3084" w:type="pct"/>
            <w:vAlign w:val="center"/>
            <w:hideMark/>
          </w:tcPr>
          <w:p w14:paraId="0A15C3AE" w14:textId="3E91BF87" w:rsidR="006710ED" w:rsidRPr="001A795A" w:rsidRDefault="006040BD" w:rsidP="001A795A">
            <w:pPr>
              <w:spacing w:after="0" w:line="240" w:lineRule="auto"/>
              <w:ind w:firstLine="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акта забезпечить повною мірою досягнення поставлених цілей</w:t>
            </w:r>
          </w:p>
        </w:tc>
        <w:tc>
          <w:tcPr>
            <w:tcW w:w="944" w:type="pct"/>
            <w:vAlign w:val="center"/>
            <w:hideMark/>
          </w:tcPr>
          <w:p w14:paraId="0000AC4D" w14:textId="77777777" w:rsidR="006710ED" w:rsidRPr="001A795A" w:rsidRDefault="006710ED" w:rsidP="001A795A">
            <w:pPr>
              <w:spacing w:after="0" w:line="240" w:lineRule="auto"/>
              <w:ind w:firstLine="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</w:t>
            </w:r>
          </w:p>
        </w:tc>
      </w:tr>
    </w:tbl>
    <w:p w14:paraId="781971EF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334D09E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V. Механізми та заходи, які забезпечать розв’язання визначеної проблеми</w:t>
      </w:r>
    </w:p>
    <w:p w14:paraId="47079F76" w14:textId="453598EF" w:rsidR="00DA37E8" w:rsidRPr="001A795A" w:rsidRDefault="00DA37E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0" w:name="n162"/>
      <w:bookmarkEnd w:id="30"/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Одним з механізмів досягання цілі державного регулювання та стимулювання розвитку національної кіноіндустрії є врегулювання та удосконалення законодавства у сфері кінематографії, а тому прийняття проєкту акт</w:t>
      </w:r>
      <w:r w:rsidR="00411801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забезпечить розв’язання існуючих проблем.</w:t>
      </w:r>
    </w:p>
    <w:p w14:paraId="1C33FB5E" w14:textId="7BF72A59" w:rsidR="006710ED" w:rsidRPr="001A795A" w:rsidRDefault="00DA37E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впровадження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акта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4A6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центральному органу виконавчої влади, що формує та забезпечує реалізацію державної політики у сфері кінематографії,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 здійснити наступні заходи:</w:t>
      </w:r>
    </w:p>
    <w:p w14:paraId="501597E2" w14:textId="5CB5DB6C" w:rsidR="00DA37E8" w:rsidRPr="001A795A" w:rsidRDefault="0017601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A37E8" w:rsidRPr="001A795A">
        <w:rPr>
          <w:rFonts w:ascii="Times New Roman" w:hAnsi="Times New Roman" w:cs="Times New Roman"/>
          <w:sz w:val="24"/>
          <w:szCs w:val="24"/>
          <w:lang w:val="uk-UA"/>
        </w:rPr>
        <w:t>інформування громадськості про вимоги регуляторного акта шляхом оприлюднення його проєкту на офіційному вебсайті Держкіно;</w:t>
      </w:r>
    </w:p>
    <w:p w14:paraId="52F1A706" w14:textId="6E4F19A6" w:rsidR="00DA37E8" w:rsidRPr="001A795A" w:rsidRDefault="0017601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A37E8" w:rsidRPr="001A795A">
        <w:rPr>
          <w:rFonts w:ascii="Times New Roman" w:hAnsi="Times New Roman" w:cs="Times New Roman"/>
          <w:sz w:val="24"/>
          <w:szCs w:val="24"/>
          <w:lang w:val="uk-UA"/>
        </w:rPr>
        <w:t>погодження проєкту регуляторного акта із заінтересованими органами</w:t>
      </w:r>
      <w:r w:rsidR="00DC4A6A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виконавчої влади</w:t>
      </w:r>
      <w:r w:rsidR="00DA37E8" w:rsidRPr="001A795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C79A1AE" w14:textId="01A60291" w:rsidR="00DC4A6A" w:rsidRPr="001A795A" w:rsidRDefault="0017601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A37E8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спрямування проєкту акта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до Кабінету Міністрів України</w:t>
      </w:r>
      <w:r w:rsidR="00DF1D06" w:rsidRPr="001A79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19A719" w14:textId="77777777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33066" w14:textId="1B8C63F4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реалізації проєкту акта центральному органу виконавчої влади, що формує та забезпечує реалізацію державної політики у сфері кінематографії, необхідно здійснити наступні заходи:</w:t>
      </w:r>
    </w:p>
    <w:p w14:paraId="776EF8B7" w14:textId="2AC8C6CD" w:rsidR="00FC13E1" w:rsidRPr="001A795A" w:rsidRDefault="00DC4A6A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F1D06" w:rsidRPr="001A795A">
        <w:rPr>
          <w:rFonts w:ascii="Times New Roman" w:hAnsi="Times New Roman" w:cs="Times New Roman"/>
          <w:sz w:val="24"/>
          <w:szCs w:val="24"/>
          <w:lang w:val="uk-UA"/>
        </w:rPr>
        <w:t>розроблення та затвердження форм звітності про використання національного екранного часу;</w:t>
      </w:r>
    </w:p>
    <w:p w14:paraId="0983E212" w14:textId="77777777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контролю за використанням демонстраторами фільмів національного екранного часу.</w:t>
      </w:r>
    </w:p>
    <w:p w14:paraId="5359AE34" w14:textId="77777777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F908C9" w14:textId="5A20A6A7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реалізації проєкту акта місцевим органам управління кінематографії необхідно здійснити наступні заходи:</w:t>
      </w:r>
    </w:p>
    <w:p w14:paraId="3EE63A3D" w14:textId="33E20C89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складання та спрямування Держкіно звітн</w:t>
      </w:r>
      <w:r w:rsidR="004B7710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використання демонстраторами фільмів національного екранного часу;</w:t>
      </w:r>
    </w:p>
    <w:p w14:paraId="7658CDED" w14:textId="73E35783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контролю за використанням демонстраторами фільмів національного екранного часу.</w:t>
      </w:r>
    </w:p>
    <w:p w14:paraId="7DBD1417" w14:textId="77777777" w:rsidR="00DF1D06" w:rsidRPr="001A795A" w:rsidRDefault="00DF1D06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48B01" w14:textId="5E91191F" w:rsidR="00DC4A6A" w:rsidRPr="001A795A" w:rsidRDefault="00FC13E1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EE745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реалізації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проєкту акта суб’єктам </w:t>
      </w:r>
      <w:r w:rsidR="00DF1D06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господарювання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необхідно здійснити наступні заходи</w:t>
      </w:r>
      <w:r w:rsidR="00DC4A6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10FC8838" w14:textId="5AAA5B38" w:rsidR="00106FFC" w:rsidRPr="001A795A" w:rsidRDefault="00106FFC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складання та спрямування місцевим органам управління кінематографії звітності про використання демонстраторами фільмів національного екранного часу</w:t>
      </w:r>
      <w:r w:rsidR="003942B6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C522C13" w14:textId="00064577" w:rsidR="00FC13E1" w:rsidRPr="001A795A" w:rsidRDefault="00FC13E1" w:rsidP="001A79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140C72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1" w:name="n163"/>
      <w:bookmarkEnd w:id="31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0FF001D5" w14:textId="77777777" w:rsidR="00624ADA" w:rsidRPr="001A795A" w:rsidRDefault="00624ADA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32" w:name="n164"/>
      <w:bookmarkStart w:id="33" w:name="n165"/>
      <w:bookmarkEnd w:id="32"/>
      <w:bookmarkEnd w:id="33"/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>Для впровадження та виконання вимог регуляторного акта органи виконавчої влади чи органи місцевого самоврядування не будуть нести додаткові витрати.</w:t>
      </w:r>
    </w:p>
    <w:p w14:paraId="0582F245" w14:textId="77777777" w:rsidR="00624ADA" w:rsidRPr="001A795A" w:rsidRDefault="00624ADA" w:rsidP="001A79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hAnsi="Times New Roman" w:cs="Times New Roman"/>
          <w:sz w:val="24"/>
          <w:szCs w:val="24"/>
          <w:lang w:val="uk-UA" w:eastAsia="uk-UA"/>
        </w:rPr>
        <w:t>Відповідно,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не проводився.</w:t>
      </w:r>
    </w:p>
    <w:p w14:paraId="3E30C79B" w14:textId="222C345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 витрат на одного суб’єкта господарювання великого і середнього підприємництва, які виникають внаслідок дії регуляторного акта та розрахунок витрат на адміністрування регулювання для суб’єктів великого і середнього підприємництва (відповідно додатків 2 та 3 до Методики проведення аналізу впливу регуляторного акта, затвердженої п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останова Кабінету Міністрів України від 11 березня 2004 року № 308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), не проводилися, оскільки питома вага суб’єктів малого (мікро) підприємництва складає 100 %.</w:t>
      </w:r>
    </w:p>
    <w:p w14:paraId="70665568" w14:textId="7777777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Проведено розрахунок витрат суб’єктів малого підприємництва (відповідно до додатку 4 до зазначеної Методики). Тест малого підприємництва (М-Тест) додається.</w:t>
      </w:r>
    </w:p>
    <w:p w14:paraId="43073988" w14:textId="77777777" w:rsidR="006710ED" w:rsidRPr="001A795A" w:rsidRDefault="006710ED" w:rsidP="001A79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34" w:name="n166"/>
      <w:bookmarkEnd w:id="34"/>
    </w:p>
    <w:p w14:paraId="29702BD6" w14:textId="77777777" w:rsidR="00CB1928" w:rsidRPr="001A795A" w:rsidRDefault="00CB1928" w:rsidP="001A79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ТЕСТ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малого підприємництва (М-Тест)</w:t>
      </w:r>
    </w:p>
    <w:p w14:paraId="4F4E6C03" w14:textId="7777777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5" w:name="n200"/>
      <w:bookmarkEnd w:id="35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Консультації з представниками мікро- та малого підприємництва щодо оцінки впливу регулювання</w:t>
      </w:r>
    </w:p>
    <w:p w14:paraId="0E927C92" w14:textId="3C2B6FD4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6" w:name="n201"/>
      <w:bookmarkEnd w:id="36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необхідно для здійснення регулювання, проведено </w:t>
      </w:r>
      <w:r w:rsidR="0041180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Державним агентством України з питань кіно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період</w:t>
      </w:r>
      <w:r w:rsidR="0041180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«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по «2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липня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624ADA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року.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828"/>
        <w:gridCol w:w="2407"/>
        <w:gridCol w:w="2697"/>
      </w:tblGrid>
      <w:tr w:rsidR="001A795A" w:rsidRPr="001A795A" w14:paraId="4D6E61ED" w14:textId="77777777" w:rsidTr="00D056D3">
        <w:trPr>
          <w:jc w:val="center"/>
        </w:trPr>
        <w:tc>
          <w:tcPr>
            <w:tcW w:w="817" w:type="pct"/>
            <w:vAlign w:val="center"/>
            <w:hideMark/>
          </w:tcPr>
          <w:p w14:paraId="24C19979" w14:textId="77777777" w:rsidR="00CB1928" w:rsidRPr="001A795A" w:rsidRDefault="00CB1928" w:rsidP="001A795A">
            <w:pPr>
              <w:spacing w:after="0" w:line="240" w:lineRule="auto"/>
              <w:ind w:firstLine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7" w:name="n202"/>
            <w:bookmarkEnd w:id="37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Порядковий номер</w:t>
            </w:r>
          </w:p>
        </w:tc>
        <w:tc>
          <w:tcPr>
            <w:tcW w:w="1491" w:type="pct"/>
            <w:vAlign w:val="center"/>
            <w:hideMark/>
          </w:tcPr>
          <w:p w14:paraId="322985C8" w14:textId="40D4DF72" w:rsidR="00CB1928" w:rsidRPr="001A795A" w:rsidRDefault="00CB1928" w:rsidP="001A795A">
            <w:pPr>
              <w:spacing w:after="0" w:line="240" w:lineRule="auto"/>
              <w:ind w:firstLine="1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консультації </w:t>
            </w:r>
          </w:p>
        </w:tc>
        <w:tc>
          <w:tcPr>
            <w:tcW w:w="1269" w:type="pct"/>
            <w:vAlign w:val="center"/>
            <w:hideMark/>
          </w:tcPr>
          <w:p w14:paraId="7DFE26CA" w14:textId="77777777" w:rsidR="00CB1928" w:rsidRPr="001A795A" w:rsidRDefault="00CB1928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учасників консультацій, осіб</w:t>
            </w:r>
          </w:p>
        </w:tc>
        <w:tc>
          <w:tcPr>
            <w:tcW w:w="1422" w:type="pct"/>
            <w:vAlign w:val="center"/>
            <w:hideMark/>
          </w:tcPr>
          <w:p w14:paraId="1A230B1F" w14:textId="28A06401" w:rsidR="00CB1928" w:rsidRPr="001A795A" w:rsidRDefault="00CB1928" w:rsidP="001A795A">
            <w:pPr>
              <w:spacing w:after="0" w:line="240" w:lineRule="auto"/>
              <w:ind w:firstLine="1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Основні результати консультацій </w:t>
            </w:r>
          </w:p>
        </w:tc>
      </w:tr>
      <w:tr w:rsidR="001A795A" w:rsidRPr="001A795A" w14:paraId="7156A3C4" w14:textId="77777777" w:rsidTr="00D056D3">
        <w:trPr>
          <w:jc w:val="center"/>
        </w:trPr>
        <w:tc>
          <w:tcPr>
            <w:tcW w:w="817" w:type="pct"/>
            <w:vAlign w:val="center"/>
          </w:tcPr>
          <w:p w14:paraId="625D4AA2" w14:textId="23D580AE" w:rsidR="00CB1928" w:rsidRPr="001A795A" w:rsidRDefault="00CB1928" w:rsidP="001A795A">
            <w:pPr>
              <w:spacing w:after="0" w:line="240" w:lineRule="auto"/>
              <w:ind w:firstLine="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91" w:type="pct"/>
            <w:vAlign w:val="center"/>
          </w:tcPr>
          <w:p w14:paraId="30051B58" w14:textId="3D4EF266" w:rsidR="00CB1928" w:rsidRPr="001A795A" w:rsidRDefault="00624ADA" w:rsidP="001A795A">
            <w:pPr>
              <w:spacing w:after="0" w:line="240" w:lineRule="auto"/>
              <w:ind w:firstLine="1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Електронні консультації (безпосередня форма)</w:t>
            </w:r>
          </w:p>
        </w:tc>
        <w:tc>
          <w:tcPr>
            <w:tcW w:w="1269" w:type="pct"/>
            <w:vAlign w:val="center"/>
          </w:tcPr>
          <w:p w14:paraId="4EF6C76C" w14:textId="0C185351" w:rsidR="00CB1928" w:rsidRPr="001A795A" w:rsidRDefault="00720E3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  <w:tc>
          <w:tcPr>
            <w:tcW w:w="1422" w:type="pct"/>
            <w:vAlign w:val="center"/>
          </w:tcPr>
          <w:p w14:paraId="6C4D6CDF" w14:textId="39575691" w:rsidR="00CB1928" w:rsidRPr="001A795A" w:rsidRDefault="00661FA9" w:rsidP="001A795A">
            <w:pPr>
              <w:spacing w:after="0" w:line="240" w:lineRule="auto"/>
              <w:ind w:firstLine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Обговорено положення про</w:t>
            </w:r>
            <w:r w:rsidR="00C8111A" w:rsidRPr="001A795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є</w:t>
            </w:r>
            <w:r w:rsidRPr="001A795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uk-UA"/>
              </w:rPr>
              <w:t>кту акта</w:t>
            </w:r>
          </w:p>
        </w:tc>
      </w:tr>
    </w:tbl>
    <w:p w14:paraId="1EAFADBF" w14:textId="7777777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8" w:name="n203"/>
      <w:bookmarkEnd w:id="38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Вимірювання впливу регулювання на суб’єктів малого підприємництва (мікро- та малі):</w:t>
      </w:r>
    </w:p>
    <w:p w14:paraId="54A93A66" w14:textId="6DD60546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9" w:name="n204"/>
      <w:bookmarkEnd w:id="39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суб’єктів малого підприємництва, на яких поширюється регулювання: </w:t>
      </w:r>
      <w:r w:rsidR="0050538F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349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(одиниць);</w:t>
      </w:r>
    </w:p>
    <w:p w14:paraId="7B3235DD" w14:textId="736CF740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0" w:name="n205"/>
      <w:bookmarkEnd w:id="40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661FA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100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(відсотків)</w:t>
      </w:r>
      <w:r w:rsidR="00661FA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049652E" w14:textId="7777777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1" w:name="n206"/>
      <w:bookmarkEnd w:id="41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Розрахунок витрат суб’єктів малого підприємництва на виконання вимог регулювання</w:t>
      </w:r>
    </w:p>
    <w:tbl>
      <w:tblPr>
        <w:tblW w:w="50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3500"/>
        <w:gridCol w:w="1517"/>
        <w:gridCol w:w="1519"/>
        <w:gridCol w:w="1578"/>
      </w:tblGrid>
      <w:tr w:rsidR="001A795A" w:rsidRPr="001A795A" w14:paraId="1959A3FE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2ABB8654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Порядковий номер</w:t>
            </w:r>
          </w:p>
        </w:tc>
        <w:tc>
          <w:tcPr>
            <w:tcW w:w="1834" w:type="pct"/>
            <w:vAlign w:val="center"/>
            <w:hideMark/>
          </w:tcPr>
          <w:p w14:paraId="771D1E94" w14:textId="77777777" w:rsidR="00CB1928" w:rsidRPr="001A795A" w:rsidRDefault="00CB1928" w:rsidP="001A795A">
            <w:pPr>
              <w:spacing w:after="0" w:line="240" w:lineRule="auto"/>
              <w:ind w:firstLine="1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оцінки</w:t>
            </w:r>
          </w:p>
        </w:tc>
        <w:tc>
          <w:tcPr>
            <w:tcW w:w="795" w:type="pct"/>
            <w:vAlign w:val="center"/>
            <w:hideMark/>
          </w:tcPr>
          <w:p w14:paraId="332AFA58" w14:textId="77777777" w:rsidR="00CB1928" w:rsidRPr="001A795A" w:rsidRDefault="00CB1928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796" w:type="pct"/>
            <w:vAlign w:val="center"/>
            <w:hideMark/>
          </w:tcPr>
          <w:p w14:paraId="12D2CF13" w14:textId="77777777" w:rsidR="00CB1928" w:rsidRPr="001A795A" w:rsidRDefault="00CB1928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Періодичні (за наступний рік)</w:t>
            </w:r>
          </w:p>
        </w:tc>
        <w:tc>
          <w:tcPr>
            <w:tcW w:w="828" w:type="pct"/>
            <w:vAlign w:val="center"/>
            <w:hideMark/>
          </w:tcPr>
          <w:p w14:paraId="3C5EBBDB" w14:textId="77777777" w:rsidR="00CB1928" w:rsidRPr="001A795A" w:rsidRDefault="00CB1928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за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п’ять років</w:t>
            </w:r>
          </w:p>
        </w:tc>
      </w:tr>
      <w:tr w:rsidR="001A795A" w:rsidRPr="001A795A" w14:paraId="377B06F7" w14:textId="77777777" w:rsidTr="00411801">
        <w:trPr>
          <w:trHeight w:val="15"/>
        </w:trPr>
        <w:tc>
          <w:tcPr>
            <w:tcW w:w="5000" w:type="pct"/>
            <w:gridSpan w:val="5"/>
            <w:vAlign w:val="center"/>
            <w:hideMark/>
          </w:tcPr>
          <w:p w14:paraId="1EF4FC2D" w14:textId="7F4CC5E2" w:rsidR="00CB1928" w:rsidRPr="001A795A" w:rsidRDefault="00CB1928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Оцінка </w:t>
            </w:r>
            <w:r w:rsidR="00661FA9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прямих</w:t>
            </w:r>
            <w:r w:rsidR="00661FA9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1A795A" w:rsidRPr="001A795A" w14:paraId="002EF176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05C7098D" w14:textId="77777777" w:rsidR="00FD43A9" w:rsidRPr="001A795A" w:rsidRDefault="00FD43A9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34" w:type="pct"/>
            <w:vAlign w:val="center"/>
            <w:hideMark/>
          </w:tcPr>
          <w:p w14:paraId="7C640FF9" w14:textId="32D70154" w:rsidR="00FD43A9" w:rsidRPr="001A795A" w:rsidRDefault="00FD43A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795" w:type="pct"/>
            <w:vAlign w:val="center"/>
            <w:hideMark/>
          </w:tcPr>
          <w:p w14:paraId="25C5C7EF" w14:textId="0F8FB769" w:rsidR="00FD43A9" w:rsidRPr="001A795A" w:rsidRDefault="00FD43A9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  <w:hideMark/>
          </w:tcPr>
          <w:p w14:paraId="2F93D4B2" w14:textId="083523D1" w:rsidR="00FD43A9" w:rsidRPr="001A795A" w:rsidRDefault="00FD43A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  <w:hideMark/>
          </w:tcPr>
          <w:p w14:paraId="55538555" w14:textId="4C4ACE62" w:rsidR="00FD43A9" w:rsidRPr="001A795A" w:rsidRDefault="00FD43A9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21E49EE6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23F1FEB5" w14:textId="77777777" w:rsidR="00FD43A9" w:rsidRPr="001A795A" w:rsidRDefault="00FD43A9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34" w:type="pct"/>
            <w:vAlign w:val="center"/>
            <w:hideMark/>
          </w:tcPr>
          <w:p w14:paraId="18AFC90F" w14:textId="5E74E0B4" w:rsidR="00FD43A9" w:rsidRPr="001A795A" w:rsidRDefault="00FD43A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795" w:type="pct"/>
            <w:vAlign w:val="center"/>
            <w:hideMark/>
          </w:tcPr>
          <w:p w14:paraId="2AC0FF32" w14:textId="5704ABEA" w:rsidR="00FD43A9" w:rsidRPr="001A795A" w:rsidRDefault="00FD43A9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  <w:hideMark/>
          </w:tcPr>
          <w:p w14:paraId="490AE43A" w14:textId="763CCD55" w:rsidR="00FD43A9" w:rsidRPr="001A795A" w:rsidRDefault="00FD43A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  <w:hideMark/>
          </w:tcPr>
          <w:p w14:paraId="41E24E5A" w14:textId="6F79CD60" w:rsidR="00FD43A9" w:rsidRPr="001A795A" w:rsidRDefault="00FD43A9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7450CF94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5AB0ACFA" w14:textId="77777777" w:rsidR="00FD43A9" w:rsidRPr="001A795A" w:rsidRDefault="00FD43A9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34" w:type="pct"/>
            <w:vAlign w:val="center"/>
            <w:hideMark/>
          </w:tcPr>
          <w:p w14:paraId="44B72C63" w14:textId="09D11D3B" w:rsidR="00FD43A9" w:rsidRPr="001A795A" w:rsidRDefault="00FD43A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795" w:type="pct"/>
            <w:vAlign w:val="center"/>
            <w:hideMark/>
          </w:tcPr>
          <w:p w14:paraId="422EBAF1" w14:textId="392CE2A9" w:rsidR="00FD43A9" w:rsidRPr="001A795A" w:rsidRDefault="00FD43A9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  <w:hideMark/>
          </w:tcPr>
          <w:p w14:paraId="15C67563" w14:textId="44610102" w:rsidR="00FD43A9" w:rsidRPr="001A795A" w:rsidRDefault="00FD43A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  <w:hideMark/>
          </w:tcPr>
          <w:p w14:paraId="79921587" w14:textId="6F742358" w:rsidR="00FD43A9" w:rsidRPr="001A795A" w:rsidRDefault="00FD43A9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00CE266C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5B386490" w14:textId="77777777" w:rsidR="00FD43A9" w:rsidRPr="001A795A" w:rsidRDefault="00FD43A9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34" w:type="pct"/>
            <w:vAlign w:val="center"/>
            <w:hideMark/>
          </w:tcPr>
          <w:p w14:paraId="43065411" w14:textId="52E93159" w:rsidR="00FD43A9" w:rsidRPr="001A795A" w:rsidRDefault="00FD43A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795" w:type="pct"/>
            <w:vAlign w:val="center"/>
            <w:hideMark/>
          </w:tcPr>
          <w:p w14:paraId="64D3F327" w14:textId="4A797571" w:rsidR="00FD43A9" w:rsidRPr="001A795A" w:rsidRDefault="00FD43A9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  <w:hideMark/>
          </w:tcPr>
          <w:p w14:paraId="32241D59" w14:textId="53514043" w:rsidR="00FD43A9" w:rsidRPr="001A795A" w:rsidRDefault="00FD43A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  <w:hideMark/>
          </w:tcPr>
          <w:p w14:paraId="2E86B4AD" w14:textId="0178512B" w:rsidR="00FD43A9" w:rsidRPr="001A795A" w:rsidRDefault="00FD43A9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445DA9EE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7FA49AFA" w14:textId="77777777" w:rsidR="00FD43A9" w:rsidRPr="001A795A" w:rsidRDefault="00FD43A9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34" w:type="pct"/>
            <w:vAlign w:val="center"/>
            <w:hideMark/>
          </w:tcPr>
          <w:p w14:paraId="68DA6D4B" w14:textId="2CB24872" w:rsidR="00FD43A9" w:rsidRPr="001A795A" w:rsidRDefault="00FD43A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процедури</w:t>
            </w:r>
          </w:p>
        </w:tc>
        <w:tc>
          <w:tcPr>
            <w:tcW w:w="795" w:type="pct"/>
            <w:vAlign w:val="center"/>
            <w:hideMark/>
          </w:tcPr>
          <w:p w14:paraId="1E9FC105" w14:textId="013833C3" w:rsidR="00FD43A9" w:rsidRPr="001A795A" w:rsidRDefault="00FD43A9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  <w:hideMark/>
          </w:tcPr>
          <w:p w14:paraId="71BCB06F" w14:textId="30FD894B" w:rsidR="00FD43A9" w:rsidRPr="001A795A" w:rsidRDefault="00FD43A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  <w:hideMark/>
          </w:tcPr>
          <w:p w14:paraId="6EC9876F" w14:textId="5E179BB6" w:rsidR="00FD43A9" w:rsidRPr="001A795A" w:rsidRDefault="00FD43A9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6164DD40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584CEBFF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34" w:type="pct"/>
            <w:vAlign w:val="center"/>
            <w:hideMark/>
          </w:tcPr>
          <w:p w14:paraId="03243968" w14:textId="62AA0166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Разом, гривень</w:t>
            </w:r>
          </w:p>
        </w:tc>
        <w:tc>
          <w:tcPr>
            <w:tcW w:w="795" w:type="pct"/>
            <w:vAlign w:val="center"/>
            <w:hideMark/>
          </w:tcPr>
          <w:p w14:paraId="1FBB0AD9" w14:textId="210CA8BA" w:rsidR="00CB1928" w:rsidRPr="001A795A" w:rsidRDefault="00EE2345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796" w:type="pct"/>
            <w:vAlign w:val="center"/>
            <w:hideMark/>
          </w:tcPr>
          <w:p w14:paraId="659BE5EC" w14:textId="5E9557D3" w:rsidR="00CB1928" w:rsidRPr="001A795A" w:rsidRDefault="00EE2345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828" w:type="pct"/>
            <w:vAlign w:val="center"/>
            <w:hideMark/>
          </w:tcPr>
          <w:p w14:paraId="28D07D55" w14:textId="246A4C71" w:rsidR="00CB1928" w:rsidRPr="001A795A" w:rsidRDefault="00EE2345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</w:tr>
      <w:tr w:rsidR="001A795A" w:rsidRPr="001A795A" w14:paraId="70ABFE0C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7588C301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34" w:type="pct"/>
            <w:vAlign w:val="center"/>
            <w:hideMark/>
          </w:tcPr>
          <w:p w14:paraId="1AADE6A4" w14:textId="77777777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19" w:type="pct"/>
            <w:gridSpan w:val="3"/>
            <w:vAlign w:val="center"/>
            <w:hideMark/>
          </w:tcPr>
          <w:p w14:paraId="1C75DD00" w14:textId="26C3E5D3" w:rsidR="00CB1928" w:rsidRPr="001A795A" w:rsidRDefault="0050538F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</w:tr>
      <w:tr w:rsidR="001A795A" w:rsidRPr="001A795A" w14:paraId="71A57E43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113E0348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34" w:type="pct"/>
            <w:vAlign w:val="center"/>
            <w:hideMark/>
          </w:tcPr>
          <w:p w14:paraId="050A98F1" w14:textId="5EAD481A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Сумарно, гривень</w:t>
            </w:r>
          </w:p>
        </w:tc>
        <w:tc>
          <w:tcPr>
            <w:tcW w:w="795" w:type="pct"/>
            <w:vAlign w:val="center"/>
            <w:hideMark/>
          </w:tcPr>
          <w:p w14:paraId="029A1744" w14:textId="1D0361E5" w:rsidR="00CB1928" w:rsidRPr="001A795A" w:rsidRDefault="00EE2345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796" w:type="pct"/>
            <w:vAlign w:val="center"/>
            <w:hideMark/>
          </w:tcPr>
          <w:p w14:paraId="6C7B4AA4" w14:textId="02E6CB30" w:rsidR="00CB1928" w:rsidRPr="001A795A" w:rsidRDefault="00EE2345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828" w:type="pct"/>
            <w:vAlign w:val="center"/>
            <w:hideMark/>
          </w:tcPr>
          <w:p w14:paraId="50EB6599" w14:textId="25CF55AD" w:rsidR="00CB1928" w:rsidRPr="001A795A" w:rsidRDefault="00EE2345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</w:tr>
      <w:tr w:rsidR="001A795A" w:rsidRPr="001A795A" w14:paraId="48B01924" w14:textId="77777777" w:rsidTr="00411801">
        <w:trPr>
          <w:trHeight w:val="15"/>
        </w:trPr>
        <w:tc>
          <w:tcPr>
            <w:tcW w:w="5000" w:type="pct"/>
            <w:gridSpan w:val="5"/>
            <w:vAlign w:val="center"/>
            <w:hideMark/>
          </w:tcPr>
          <w:p w14:paraId="74E9CED1" w14:textId="77777777" w:rsidR="00CB1928" w:rsidRPr="001A795A" w:rsidRDefault="00CB1928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1A795A" w:rsidRPr="001A795A" w14:paraId="7BA4FE88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26C1659A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34" w:type="pct"/>
            <w:vAlign w:val="center"/>
            <w:hideMark/>
          </w:tcPr>
          <w:p w14:paraId="64639185" w14:textId="77777777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14:paraId="685F1B0B" w14:textId="08E5A79F" w:rsidR="00767223" w:rsidRPr="001A795A" w:rsidRDefault="00767223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Формула:</w:t>
            </w:r>
          </w:p>
          <w:p w14:paraId="5A8E670B" w14:textId="780F5652" w:rsidR="00CB1928" w:rsidRPr="001A795A" w:rsidRDefault="00767223" w:rsidP="001A795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 год (</w:t>
            </w:r>
            <w:r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час, який витрачається суб’єктом господарювання на пошук </w:t>
            </w:r>
            <w:r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нормативно-правового акту в мережі Інтернет та ознайомлення з ним) Х 4</w:t>
            </w:r>
            <w:r w:rsidR="000D5A48"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8 </w:t>
            </w:r>
            <w:r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грн.(розрахунок вартості 1 часу роботи відповідно до Закону України «Про Державний бюджет України на 202</w:t>
            </w:r>
            <w:r w:rsidR="00D61FEC"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4</w:t>
            </w:r>
            <w:r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рік») = 2</w:t>
            </w:r>
            <w:r w:rsidR="00CC78FF"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4</w:t>
            </w:r>
            <w:r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795" w:type="pct"/>
            <w:vAlign w:val="center"/>
            <w:hideMark/>
          </w:tcPr>
          <w:p w14:paraId="2413E9A3" w14:textId="22E04807" w:rsidR="00CB1928" w:rsidRPr="001A795A" w:rsidRDefault="00767223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CC78FF"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796" w:type="pct"/>
            <w:vAlign w:val="center"/>
            <w:hideMark/>
          </w:tcPr>
          <w:p w14:paraId="3F15F0FE" w14:textId="77777777" w:rsidR="00CB1928" w:rsidRPr="001A795A" w:rsidRDefault="0076722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 грн.</w:t>
            </w:r>
          </w:p>
          <w:p w14:paraId="2AF6E77C" w14:textId="47CB2307" w:rsidR="00767223" w:rsidRPr="001A795A" w:rsidRDefault="00767223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(припускається, що суб’єкти господарювання ознайомлюються з вимогами </w:t>
            </w:r>
            <w:r w:rsidRPr="001A795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>регулювання лише в перший рік)</w:t>
            </w:r>
          </w:p>
        </w:tc>
        <w:tc>
          <w:tcPr>
            <w:tcW w:w="828" w:type="pct"/>
            <w:vAlign w:val="center"/>
            <w:hideMark/>
          </w:tcPr>
          <w:p w14:paraId="5D1B4EA5" w14:textId="1FC1E26D" w:rsidR="00CB1928" w:rsidRPr="001A795A" w:rsidRDefault="00767223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CC78FF"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1A795A" w:rsidRPr="001A795A" w14:paraId="2C26D13B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03C5AB82" w14:textId="77777777" w:rsidR="00CB1928" w:rsidRPr="001A795A" w:rsidRDefault="00CB1928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34" w:type="pct"/>
            <w:vAlign w:val="center"/>
            <w:hideMark/>
          </w:tcPr>
          <w:p w14:paraId="515156B1" w14:textId="77777777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організації виконання вимог регулювання</w:t>
            </w:r>
          </w:p>
          <w:p w14:paraId="63561614" w14:textId="1BFCDC28" w:rsidR="00CB1928" w:rsidRPr="001A795A" w:rsidRDefault="00CB1928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pct"/>
            <w:vAlign w:val="center"/>
          </w:tcPr>
          <w:p w14:paraId="7899F872" w14:textId="6E30C568" w:rsidR="00CB1928" w:rsidRPr="001A795A" w:rsidRDefault="00CC78FF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</w:tcPr>
          <w:p w14:paraId="45DD1EEE" w14:textId="60121034" w:rsidR="00CB1928" w:rsidRPr="001A795A" w:rsidRDefault="00CC78FF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</w:tcPr>
          <w:p w14:paraId="4EF8717E" w14:textId="30048A9C" w:rsidR="00CB1928" w:rsidRPr="001A795A" w:rsidRDefault="00CC78FF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1F03A1EA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683591D5" w14:textId="77777777" w:rsidR="00CC78FF" w:rsidRPr="001A795A" w:rsidRDefault="00CC78FF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34" w:type="pct"/>
            <w:vAlign w:val="center"/>
            <w:hideMark/>
          </w:tcPr>
          <w:p w14:paraId="74DB4383" w14:textId="77777777" w:rsidR="00CC78FF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офіційного звітування</w:t>
            </w:r>
          </w:p>
          <w:p w14:paraId="4E9699F6" w14:textId="77777777" w:rsidR="00CC78FF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Формула:</w:t>
            </w:r>
          </w:p>
          <w:p w14:paraId="2F82BA4F" w14:textId="3F697AEB" w:rsidR="00D61FEC" w:rsidRPr="001A795A" w:rsidRDefault="00D61FEC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 год. (ч</w:t>
            </w:r>
            <w:r w:rsidR="00CC78FF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ас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, який витрачається суб’єктом господарювання </w:t>
            </w:r>
            <w:r w:rsidR="00CC78FF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на отримання інформації про порядок звітування щодо регулювання, отримання необхідних форм та визначення органу, що приймає звіти та місця звітності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</w:t>
            </w:r>
          </w:p>
          <w:p w14:paraId="4CF9A008" w14:textId="2195CB33" w:rsidR="00D61FEC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+ 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 год. (час, який витрачається суб’єктом господарювання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на заповнення звітних форм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</w:p>
          <w:p w14:paraId="687DBC24" w14:textId="77777777" w:rsidR="00D61FEC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+ 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0,1 год. (час, який витрачається суб’єктом господарювання 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на передачу звітних форм (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урахуванням подачі звітності в електронній формі)</w:t>
            </w:r>
          </w:p>
          <w:p w14:paraId="156CFBD0" w14:textId="3288EFC8" w:rsidR="00D61FEC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+ 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0,1 год. (час, який витрачається суб’єктом господарювання 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на корегування (оцінка природного рівня помилок)) </w:t>
            </w:r>
          </w:p>
          <w:p w14:paraId="673EDF71" w14:textId="2A76D787" w:rsidR="00D61FEC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Х </w:t>
            </w:r>
            <w:r w:rsidR="00D61FEC"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>48 грн.(розрахунок вартості 1 часу роботи відповідно до Закону України «Про Державний бюджет України на 2024 рік»)</w:t>
            </w:r>
          </w:p>
          <w:p w14:paraId="03696EFF" w14:textId="60FC4686" w:rsidR="00D61FEC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Х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1 (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оціночна кількість оригінальних звітів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</w:p>
          <w:p w14:paraId="5B16014F" w14:textId="6768E1CB" w:rsidR="00CC78FF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Х 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 (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кількість періодів звітності за рік</w:t>
            </w:r>
            <w:r w:rsidR="00D61FEC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)=</w:t>
            </w:r>
            <w:r w:rsidR="00D40E71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1,7*48*1*4= 326,4</w:t>
            </w:r>
          </w:p>
        </w:tc>
        <w:tc>
          <w:tcPr>
            <w:tcW w:w="795" w:type="pct"/>
            <w:vAlign w:val="center"/>
            <w:hideMark/>
          </w:tcPr>
          <w:p w14:paraId="763D0897" w14:textId="5A5FEABE" w:rsidR="00CC78FF" w:rsidRPr="001A795A" w:rsidRDefault="00D40E71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326,4</w:t>
            </w:r>
            <w:r w:rsidR="004326C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796" w:type="pct"/>
            <w:vAlign w:val="center"/>
            <w:hideMark/>
          </w:tcPr>
          <w:p w14:paraId="1E7F8158" w14:textId="40009254" w:rsidR="00CC78FF" w:rsidRPr="001A795A" w:rsidRDefault="009F7D1E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326,4</w:t>
            </w:r>
            <w:r w:rsidR="004326C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  <w:tc>
          <w:tcPr>
            <w:tcW w:w="828" w:type="pct"/>
            <w:vAlign w:val="center"/>
            <w:hideMark/>
          </w:tcPr>
          <w:p w14:paraId="1C91C372" w14:textId="1F099A8F" w:rsidR="00CC78FF" w:rsidRPr="001A795A" w:rsidRDefault="009F7D1E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1632</w:t>
            </w:r>
            <w:r w:rsidR="004326C5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</w:t>
            </w:r>
          </w:p>
        </w:tc>
      </w:tr>
      <w:tr w:rsidR="001A795A" w:rsidRPr="001A795A" w14:paraId="424AEF5B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69675C02" w14:textId="77777777" w:rsidR="00CC78FF" w:rsidRPr="001A795A" w:rsidRDefault="00CC78FF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34" w:type="pct"/>
            <w:vAlign w:val="center"/>
            <w:hideMark/>
          </w:tcPr>
          <w:p w14:paraId="3D4195F0" w14:textId="77777777" w:rsidR="00CC78FF" w:rsidRPr="001A795A" w:rsidRDefault="00CC78FF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Процедури щодо забезпечення процесу перевірок</w:t>
            </w:r>
          </w:p>
          <w:p w14:paraId="124C9E69" w14:textId="32AE3249" w:rsidR="00730B79" w:rsidRPr="001A795A" w:rsidRDefault="00730B7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Формула:</w:t>
            </w:r>
          </w:p>
          <w:p w14:paraId="69154ACD" w14:textId="65F661C2" w:rsidR="00730B79" w:rsidRPr="001A795A" w:rsidRDefault="00730B79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2 годи. (час, який витрачається суб’єктом господарювання на забезпечення процесу перевірок з боку </w:t>
            </w:r>
            <w:r w:rsidR="006840D6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Держкіно)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6840D6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Х </w:t>
            </w:r>
            <w:r w:rsidR="006840D6" w:rsidRPr="001A795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48 грн.(розрахунок вартості 1 часу роботи відповідно до Закону України «Про Державний бюджет України на 2024 рік») 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Х </w:t>
            </w:r>
            <w:r w:rsidR="006840D6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 (</w:t>
            </w: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кількість перевірок за рік</w:t>
            </w:r>
            <w:r w:rsidR="004326C5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за умови відновлення </w:t>
            </w:r>
            <w:r w:rsidR="009351DB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проведення </w:t>
            </w:r>
            <w:r w:rsidR="004326C5" w:rsidRPr="001A795A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uk-UA"/>
              </w:rPr>
              <w:t>заходів державного нагляду (контролю</w:t>
            </w:r>
            <w:r w:rsidR="006840D6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)</w:t>
            </w:r>
            <w:r w:rsidR="00F61217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=96</w:t>
            </w:r>
            <w:r w:rsidR="009351DB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  <w:r w:rsidR="00F61217"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795" w:type="pct"/>
            <w:vAlign w:val="center"/>
            <w:hideMark/>
          </w:tcPr>
          <w:p w14:paraId="70E3798E" w14:textId="562880EA" w:rsidR="00CC78FF" w:rsidRPr="001A795A" w:rsidRDefault="004326C5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96</w:t>
            </w:r>
            <w:r w:rsidR="00CC78FF"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796" w:type="pct"/>
            <w:vAlign w:val="center"/>
            <w:hideMark/>
          </w:tcPr>
          <w:p w14:paraId="61BB29AE" w14:textId="0DBFC844" w:rsidR="00CC78FF" w:rsidRPr="001A795A" w:rsidRDefault="004326C5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 грн.</w:t>
            </w:r>
          </w:p>
        </w:tc>
        <w:tc>
          <w:tcPr>
            <w:tcW w:w="828" w:type="pct"/>
            <w:vAlign w:val="center"/>
            <w:hideMark/>
          </w:tcPr>
          <w:p w14:paraId="6FA679CE" w14:textId="77777777" w:rsidR="00B81562" w:rsidRPr="001A795A" w:rsidRDefault="00B81562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</w:t>
            </w:r>
            <w:r w:rsidR="00CC78FF"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грн. </w:t>
            </w:r>
          </w:p>
          <w:p w14:paraId="643AE408" w14:textId="3BE8E0FA" w:rsidR="00CC78FF" w:rsidRPr="001A795A" w:rsidRDefault="00CC78FF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(за умови </w:t>
            </w:r>
            <w:r w:rsidR="00B81562" w:rsidRPr="001A79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віднесення діяльності суб’єктів господарювання до високого ступеня ризику та проведення заходів державного нагляду (контролю) не частіше одного разу на два роки</w:t>
            </w:r>
          </w:p>
        </w:tc>
      </w:tr>
      <w:tr w:rsidR="001A795A" w:rsidRPr="001A795A" w14:paraId="33C78905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4FCD57D7" w14:textId="77777777" w:rsidR="007F1AE7" w:rsidRPr="001A795A" w:rsidRDefault="007F1AE7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34" w:type="pct"/>
            <w:vAlign w:val="center"/>
            <w:hideMark/>
          </w:tcPr>
          <w:p w14:paraId="37721C1E" w14:textId="3CE0972A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процедури </w:t>
            </w:r>
          </w:p>
          <w:p w14:paraId="13AFAE85" w14:textId="0F13F8E8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5" w:type="pct"/>
            <w:vAlign w:val="center"/>
          </w:tcPr>
          <w:p w14:paraId="55C6EEDE" w14:textId="783A576F" w:rsidR="007F1AE7" w:rsidRPr="001A795A" w:rsidRDefault="007F1AE7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796" w:type="pct"/>
            <w:vAlign w:val="center"/>
          </w:tcPr>
          <w:p w14:paraId="4BC6B096" w14:textId="71393D60" w:rsidR="007F1AE7" w:rsidRPr="001A795A" w:rsidRDefault="007F1AE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  <w:tc>
          <w:tcPr>
            <w:tcW w:w="828" w:type="pct"/>
            <w:vAlign w:val="center"/>
          </w:tcPr>
          <w:p w14:paraId="20714096" w14:textId="3BF4760D" w:rsidR="007F1AE7" w:rsidRPr="001A795A" w:rsidRDefault="007F1AE7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передбачені</w:t>
            </w:r>
          </w:p>
        </w:tc>
      </w:tr>
      <w:tr w:rsidR="001A795A" w:rsidRPr="001A795A" w14:paraId="4FBEA44D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08E04615" w14:textId="77777777" w:rsidR="007F1AE7" w:rsidRPr="001A795A" w:rsidRDefault="007F1AE7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834" w:type="pct"/>
            <w:vAlign w:val="center"/>
            <w:hideMark/>
          </w:tcPr>
          <w:p w14:paraId="1EED4F20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Разом, гривень</w:t>
            </w:r>
          </w:p>
          <w:p w14:paraId="11013AA5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Формула:</w:t>
            </w:r>
          </w:p>
          <w:p w14:paraId="7733925F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(сума рядків 9 + 10 + 11 + 12 + 13)</w:t>
            </w:r>
          </w:p>
        </w:tc>
        <w:tc>
          <w:tcPr>
            <w:tcW w:w="795" w:type="pct"/>
            <w:vAlign w:val="center"/>
            <w:hideMark/>
          </w:tcPr>
          <w:p w14:paraId="10833CD4" w14:textId="0EC6561C" w:rsidR="007F1AE7" w:rsidRPr="001A795A" w:rsidRDefault="007F1AE7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446,4 грн.</w:t>
            </w:r>
          </w:p>
        </w:tc>
        <w:tc>
          <w:tcPr>
            <w:tcW w:w="796" w:type="pct"/>
            <w:vAlign w:val="center"/>
            <w:hideMark/>
          </w:tcPr>
          <w:p w14:paraId="15C13D4D" w14:textId="2C081E5E" w:rsidR="007F1AE7" w:rsidRPr="001A795A" w:rsidRDefault="007F1AE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422,4 грн.</w:t>
            </w:r>
          </w:p>
        </w:tc>
        <w:tc>
          <w:tcPr>
            <w:tcW w:w="828" w:type="pct"/>
            <w:vAlign w:val="center"/>
            <w:hideMark/>
          </w:tcPr>
          <w:p w14:paraId="315973DD" w14:textId="465925E4" w:rsidR="007F1AE7" w:rsidRPr="001A795A" w:rsidRDefault="007F1AE7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1944 грн.</w:t>
            </w:r>
          </w:p>
        </w:tc>
      </w:tr>
      <w:tr w:rsidR="001A795A" w:rsidRPr="001A795A" w14:paraId="1D58FB14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5FB1EE98" w14:textId="77777777" w:rsidR="007F1AE7" w:rsidRPr="001A795A" w:rsidRDefault="007F1AE7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34" w:type="pct"/>
            <w:vAlign w:val="center"/>
            <w:hideMark/>
          </w:tcPr>
          <w:p w14:paraId="481B2824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суб’єктів малого підприємництва, що повинні </w:t>
            </w: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виконати вимоги регулювання, одиниць</w:t>
            </w:r>
          </w:p>
        </w:tc>
        <w:tc>
          <w:tcPr>
            <w:tcW w:w="795" w:type="pct"/>
            <w:vAlign w:val="center"/>
            <w:hideMark/>
          </w:tcPr>
          <w:p w14:paraId="54DFCEA2" w14:textId="5A0647FB" w:rsidR="007F1AE7" w:rsidRPr="001A795A" w:rsidRDefault="007F1AE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349</w:t>
            </w:r>
          </w:p>
        </w:tc>
        <w:tc>
          <w:tcPr>
            <w:tcW w:w="796" w:type="pct"/>
            <w:vAlign w:val="center"/>
            <w:hideMark/>
          </w:tcPr>
          <w:p w14:paraId="290709B9" w14:textId="21D8C3FE" w:rsidR="007F1AE7" w:rsidRPr="001A795A" w:rsidRDefault="007F1AE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  <w:tc>
          <w:tcPr>
            <w:tcW w:w="828" w:type="pct"/>
            <w:vAlign w:val="center"/>
            <w:hideMark/>
          </w:tcPr>
          <w:p w14:paraId="0E0CD521" w14:textId="6DC6DEF3" w:rsidR="007F1AE7" w:rsidRPr="001A795A" w:rsidRDefault="007F1AE7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349</w:t>
            </w:r>
          </w:p>
        </w:tc>
      </w:tr>
      <w:tr w:rsidR="001A795A" w:rsidRPr="001A795A" w14:paraId="7A1ECEB7" w14:textId="77777777" w:rsidTr="007F1AE7">
        <w:trPr>
          <w:trHeight w:val="15"/>
        </w:trPr>
        <w:tc>
          <w:tcPr>
            <w:tcW w:w="748" w:type="pct"/>
            <w:vAlign w:val="center"/>
            <w:hideMark/>
          </w:tcPr>
          <w:p w14:paraId="79A4E88F" w14:textId="77777777" w:rsidR="007F1AE7" w:rsidRPr="001A795A" w:rsidRDefault="007F1AE7" w:rsidP="001A795A">
            <w:pPr>
              <w:spacing w:after="0" w:line="240" w:lineRule="auto"/>
              <w:ind w:firstLine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34" w:type="pct"/>
            <w:vAlign w:val="center"/>
            <w:hideMark/>
          </w:tcPr>
          <w:p w14:paraId="467A9BED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Сумарно, гривень</w:t>
            </w:r>
          </w:p>
          <w:p w14:paraId="68BCB52D" w14:textId="77777777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Формула:</w:t>
            </w:r>
          </w:p>
          <w:p w14:paraId="2A7F76A3" w14:textId="0710A59C" w:rsidR="007F1AE7" w:rsidRPr="001A795A" w:rsidRDefault="007F1AE7" w:rsidP="001A795A">
            <w:pPr>
              <w:spacing w:after="0" w:line="240" w:lineRule="auto"/>
              <w:ind w:firstLine="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(рядок 14 Х рядок 15)</w:t>
            </w:r>
          </w:p>
        </w:tc>
        <w:tc>
          <w:tcPr>
            <w:tcW w:w="795" w:type="pct"/>
            <w:vAlign w:val="center"/>
            <w:hideMark/>
          </w:tcPr>
          <w:p w14:paraId="76F70548" w14:textId="4900AC77" w:rsidR="007F1AE7" w:rsidRPr="001A795A" w:rsidRDefault="00094F36" w:rsidP="001A795A">
            <w:pPr>
              <w:spacing w:after="0" w:line="240" w:lineRule="auto"/>
              <w:ind w:firstLine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155793,6 грн.</w:t>
            </w:r>
          </w:p>
        </w:tc>
        <w:tc>
          <w:tcPr>
            <w:tcW w:w="796" w:type="pct"/>
            <w:vAlign w:val="center"/>
            <w:hideMark/>
          </w:tcPr>
          <w:p w14:paraId="7D929297" w14:textId="26894372" w:rsidR="007F1AE7" w:rsidRPr="001A795A" w:rsidRDefault="00094F36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147417,6 грн.</w:t>
            </w:r>
          </w:p>
        </w:tc>
        <w:tc>
          <w:tcPr>
            <w:tcW w:w="828" w:type="pct"/>
            <w:vAlign w:val="center"/>
            <w:hideMark/>
          </w:tcPr>
          <w:p w14:paraId="0333F391" w14:textId="59D7A601" w:rsidR="007F1AE7" w:rsidRPr="001A795A" w:rsidRDefault="00094F36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678456 грн.</w:t>
            </w:r>
          </w:p>
          <w:p w14:paraId="7B0E995F" w14:textId="77777777" w:rsidR="007F1AE7" w:rsidRPr="001A795A" w:rsidRDefault="007F1AE7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AED3067" w14:textId="5931EC7B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2" w:name="n207"/>
      <w:bookmarkStart w:id="43" w:name="n208"/>
      <w:bookmarkEnd w:id="42"/>
      <w:bookmarkEnd w:id="43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Бюджетні витрати на адміністрування регулювання суб’єктів малого підприємництва</w:t>
      </w:r>
      <w:r w:rsidR="00F36F0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відсутні.</w:t>
      </w:r>
    </w:p>
    <w:p w14:paraId="1FFDCA7E" w14:textId="6633F811" w:rsidR="00FD43A9" w:rsidRPr="001A795A" w:rsidRDefault="00FD43A9" w:rsidP="001A79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44" w:name="n209"/>
      <w:bookmarkEnd w:id="44"/>
      <w:r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  <w:r w:rsidR="00266885"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</w:t>
      </w:r>
      <w:r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еалізація положень проєкту акта буде здійснюватися державними службовцями відповідно до посадових обов’язків та не потребує додаткових витрат з державного бюджету.</w:t>
      </w:r>
    </w:p>
    <w:p w14:paraId="1F94DAD9" w14:textId="77777777" w:rsidR="00CB1928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5" w:name="n216"/>
      <w:bookmarkEnd w:id="45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Розрахунок сумарних витрат суб’єктів малого підприємництва, що виникають на виконання вимог регулювання</w:t>
      </w:r>
    </w:p>
    <w:tbl>
      <w:tblPr>
        <w:tblW w:w="50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4389"/>
        <w:gridCol w:w="1801"/>
        <w:gridCol w:w="2006"/>
      </w:tblGrid>
      <w:tr w:rsidR="001A795A" w:rsidRPr="001A795A" w14:paraId="1AB948E2" w14:textId="77777777" w:rsidTr="003751DA">
        <w:tc>
          <w:tcPr>
            <w:tcW w:w="1360" w:type="dxa"/>
            <w:vAlign w:val="center"/>
            <w:hideMark/>
          </w:tcPr>
          <w:p w14:paraId="2C9C7F5D" w14:textId="77777777" w:rsidR="00CB1928" w:rsidRPr="001A795A" w:rsidRDefault="00CB1928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6" w:name="n217"/>
            <w:bookmarkEnd w:id="46"/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Порядковий номер</w:t>
            </w:r>
          </w:p>
        </w:tc>
        <w:tc>
          <w:tcPr>
            <w:tcW w:w="4389" w:type="dxa"/>
            <w:vAlign w:val="center"/>
            <w:hideMark/>
          </w:tcPr>
          <w:p w14:paraId="0ACEE609" w14:textId="77777777" w:rsidR="00CB1928" w:rsidRPr="001A795A" w:rsidRDefault="00CB1928" w:rsidP="001A795A">
            <w:pPr>
              <w:spacing w:after="0" w:line="240" w:lineRule="auto"/>
              <w:ind w:firstLine="1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801" w:type="dxa"/>
            <w:vAlign w:val="center"/>
            <w:hideMark/>
          </w:tcPr>
          <w:p w14:paraId="3E5B932E" w14:textId="77777777" w:rsidR="00CB1928" w:rsidRPr="001A795A" w:rsidRDefault="00CB1928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рік регулювання (стартовий)</w:t>
            </w:r>
          </w:p>
        </w:tc>
        <w:tc>
          <w:tcPr>
            <w:tcW w:w="2006" w:type="dxa"/>
            <w:vAlign w:val="center"/>
            <w:hideMark/>
          </w:tcPr>
          <w:p w14:paraId="5A2A101F" w14:textId="77777777" w:rsidR="00CB1928" w:rsidRPr="001A795A" w:rsidRDefault="00CB1928" w:rsidP="001A795A">
            <w:pPr>
              <w:spacing w:after="0" w:line="240" w:lineRule="auto"/>
              <w:ind w:firstLine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п’ять років</w:t>
            </w:r>
          </w:p>
        </w:tc>
      </w:tr>
      <w:tr w:rsidR="001A795A" w:rsidRPr="001A795A" w14:paraId="158596D8" w14:textId="77777777" w:rsidTr="003751DA">
        <w:tc>
          <w:tcPr>
            <w:tcW w:w="1360" w:type="dxa"/>
            <w:vAlign w:val="center"/>
            <w:hideMark/>
          </w:tcPr>
          <w:p w14:paraId="512DD4DA" w14:textId="77777777" w:rsidR="00CB1928" w:rsidRPr="001A795A" w:rsidRDefault="00CB1928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89" w:type="dxa"/>
            <w:vAlign w:val="center"/>
            <w:hideMark/>
          </w:tcPr>
          <w:p w14:paraId="664B855C" w14:textId="77777777" w:rsidR="00CB1928" w:rsidRPr="001A795A" w:rsidRDefault="00CB1928" w:rsidP="001A795A">
            <w:pPr>
              <w:spacing w:after="0" w:line="240" w:lineRule="auto"/>
              <w:ind w:firstLine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1801" w:type="dxa"/>
            <w:vAlign w:val="center"/>
            <w:hideMark/>
          </w:tcPr>
          <w:p w14:paraId="7A481646" w14:textId="38BD6CDB" w:rsidR="00CB1928" w:rsidRPr="001A795A" w:rsidRDefault="00F36F09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2006" w:type="dxa"/>
            <w:vAlign w:val="center"/>
            <w:hideMark/>
          </w:tcPr>
          <w:p w14:paraId="3A8B854C" w14:textId="3AEFCCB6" w:rsidR="00CB1928" w:rsidRPr="001A795A" w:rsidRDefault="00F36F09" w:rsidP="001A795A">
            <w:pPr>
              <w:spacing w:after="0" w:line="240" w:lineRule="auto"/>
              <w:ind w:firstLine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</w:tr>
      <w:tr w:rsidR="001A795A" w:rsidRPr="001A795A" w14:paraId="10848EFE" w14:textId="77777777" w:rsidTr="003751DA">
        <w:tc>
          <w:tcPr>
            <w:tcW w:w="1360" w:type="dxa"/>
            <w:vAlign w:val="center"/>
            <w:hideMark/>
          </w:tcPr>
          <w:p w14:paraId="40F894F7" w14:textId="77777777" w:rsidR="00F36F09" w:rsidRPr="001A795A" w:rsidRDefault="00F36F0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89" w:type="dxa"/>
            <w:vAlign w:val="center"/>
            <w:hideMark/>
          </w:tcPr>
          <w:p w14:paraId="1B779FEC" w14:textId="77777777" w:rsidR="00F36F09" w:rsidRPr="001A795A" w:rsidRDefault="00F36F09" w:rsidP="001A795A">
            <w:pPr>
              <w:spacing w:after="0" w:line="240" w:lineRule="auto"/>
              <w:ind w:firstLine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801" w:type="dxa"/>
            <w:vAlign w:val="center"/>
          </w:tcPr>
          <w:p w14:paraId="573EF28E" w14:textId="047DD667" w:rsidR="00F36F09" w:rsidRPr="001A795A" w:rsidRDefault="00FE3C44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155793,6 грн.</w:t>
            </w:r>
          </w:p>
        </w:tc>
        <w:tc>
          <w:tcPr>
            <w:tcW w:w="2006" w:type="dxa"/>
            <w:vAlign w:val="center"/>
          </w:tcPr>
          <w:p w14:paraId="24EC18EA" w14:textId="4BEDB1B4" w:rsidR="00F36F09" w:rsidRPr="001A795A" w:rsidRDefault="00FE3C44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678456 грн.</w:t>
            </w:r>
          </w:p>
        </w:tc>
      </w:tr>
      <w:tr w:rsidR="001A795A" w:rsidRPr="001A795A" w14:paraId="6660D1B1" w14:textId="77777777" w:rsidTr="003751DA">
        <w:tc>
          <w:tcPr>
            <w:tcW w:w="1360" w:type="dxa"/>
            <w:vAlign w:val="center"/>
            <w:hideMark/>
          </w:tcPr>
          <w:p w14:paraId="486E72C6" w14:textId="77777777" w:rsidR="00F36F09" w:rsidRPr="001A795A" w:rsidRDefault="00F36F0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89" w:type="dxa"/>
            <w:vAlign w:val="center"/>
            <w:hideMark/>
          </w:tcPr>
          <w:p w14:paraId="5036013A" w14:textId="77777777" w:rsidR="00F36F09" w:rsidRPr="001A795A" w:rsidRDefault="00F36F09" w:rsidP="001A795A">
            <w:pPr>
              <w:spacing w:after="0" w:line="240" w:lineRule="auto"/>
              <w:ind w:firstLine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1801" w:type="dxa"/>
            <w:vAlign w:val="center"/>
          </w:tcPr>
          <w:p w14:paraId="42D9EC1B" w14:textId="3CE79560" w:rsidR="00F36F09" w:rsidRPr="001A795A" w:rsidRDefault="00FE3C44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155793,6 грн.</w:t>
            </w:r>
          </w:p>
        </w:tc>
        <w:tc>
          <w:tcPr>
            <w:tcW w:w="2006" w:type="dxa"/>
            <w:vAlign w:val="center"/>
          </w:tcPr>
          <w:p w14:paraId="3D43A013" w14:textId="3AADFEE3" w:rsidR="00F36F09" w:rsidRPr="001A795A" w:rsidRDefault="00FE3C44" w:rsidP="001A795A">
            <w:pPr>
              <w:spacing w:after="0" w:line="240" w:lineRule="auto"/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678456 грн.</w:t>
            </w:r>
          </w:p>
        </w:tc>
      </w:tr>
      <w:tr w:rsidR="001A795A" w:rsidRPr="001A795A" w14:paraId="454EEE37" w14:textId="77777777" w:rsidTr="003751DA">
        <w:tc>
          <w:tcPr>
            <w:tcW w:w="1360" w:type="dxa"/>
            <w:vAlign w:val="center"/>
            <w:hideMark/>
          </w:tcPr>
          <w:p w14:paraId="2B595682" w14:textId="77777777" w:rsidR="00F36F09" w:rsidRPr="001A795A" w:rsidRDefault="00F36F09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89" w:type="dxa"/>
            <w:vAlign w:val="center"/>
            <w:hideMark/>
          </w:tcPr>
          <w:p w14:paraId="1D587F96" w14:textId="77777777" w:rsidR="00F36F09" w:rsidRPr="001A795A" w:rsidRDefault="00F36F09" w:rsidP="001A795A">
            <w:pPr>
              <w:spacing w:after="0" w:line="240" w:lineRule="auto"/>
              <w:ind w:firstLine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1801" w:type="dxa"/>
            <w:vAlign w:val="center"/>
            <w:hideMark/>
          </w:tcPr>
          <w:p w14:paraId="67236678" w14:textId="617535B3" w:rsidR="00F36F09" w:rsidRPr="001A795A" w:rsidRDefault="00F36F09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  <w:tc>
          <w:tcPr>
            <w:tcW w:w="2006" w:type="dxa"/>
            <w:vAlign w:val="center"/>
            <w:hideMark/>
          </w:tcPr>
          <w:p w14:paraId="541F06A6" w14:textId="7452AECD" w:rsidR="00F36F09" w:rsidRPr="001A795A" w:rsidRDefault="00F36F09" w:rsidP="001A795A">
            <w:pPr>
              <w:spacing w:after="0" w:line="240" w:lineRule="auto"/>
              <w:ind w:firstLine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витрати відсутні</w:t>
            </w:r>
          </w:p>
        </w:tc>
      </w:tr>
      <w:tr w:rsidR="001A795A" w:rsidRPr="001A795A" w14:paraId="12705F4C" w14:textId="77777777" w:rsidTr="003751DA">
        <w:tc>
          <w:tcPr>
            <w:tcW w:w="1360" w:type="dxa"/>
            <w:vAlign w:val="center"/>
            <w:hideMark/>
          </w:tcPr>
          <w:p w14:paraId="00157AA4" w14:textId="77777777" w:rsidR="003751DA" w:rsidRPr="001A795A" w:rsidRDefault="003751DA" w:rsidP="001A7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89" w:type="dxa"/>
            <w:vAlign w:val="center"/>
            <w:hideMark/>
          </w:tcPr>
          <w:p w14:paraId="530EA411" w14:textId="77777777" w:rsidR="003751DA" w:rsidRPr="001A795A" w:rsidRDefault="003751DA" w:rsidP="001A795A">
            <w:pPr>
              <w:spacing w:after="0" w:line="240" w:lineRule="auto"/>
              <w:ind w:firstLine="1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1801" w:type="dxa"/>
            <w:vAlign w:val="center"/>
          </w:tcPr>
          <w:p w14:paraId="73B90CBF" w14:textId="5A65C922" w:rsidR="003751DA" w:rsidRPr="001A795A" w:rsidRDefault="003751DA" w:rsidP="001A795A">
            <w:pPr>
              <w:spacing w:after="0" w:line="240" w:lineRule="auto"/>
              <w:ind w:firstLine="3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155793,6 грн.</w:t>
            </w:r>
          </w:p>
        </w:tc>
        <w:tc>
          <w:tcPr>
            <w:tcW w:w="2006" w:type="dxa"/>
            <w:vAlign w:val="center"/>
          </w:tcPr>
          <w:p w14:paraId="1D2AEA6F" w14:textId="0DE20FE2" w:rsidR="003751DA" w:rsidRPr="001A795A" w:rsidRDefault="003751DA" w:rsidP="001A795A">
            <w:pPr>
              <w:spacing w:after="0" w:line="240" w:lineRule="auto"/>
              <w:ind w:firstLine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79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678456 грн.</w:t>
            </w:r>
          </w:p>
        </w:tc>
      </w:tr>
    </w:tbl>
    <w:p w14:paraId="6AD0FD05" w14:textId="43479DB4" w:rsidR="00DF7BBE" w:rsidRPr="001A795A" w:rsidRDefault="00CB192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47" w:name="n218"/>
      <w:bookmarkEnd w:id="47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Розроблення </w:t>
      </w:r>
      <w:proofErr w:type="spellStart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корегуючих</w:t>
      </w:r>
      <w:proofErr w:type="spellEnd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(пом’якшувальних) заходів для малого підприємництва щодо запропонованого регулювання</w:t>
      </w:r>
      <w:r w:rsidR="008E5052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bookmarkStart w:id="48" w:name="n219"/>
      <w:bookmarkEnd w:id="48"/>
      <w:proofErr w:type="spellStart"/>
      <w:r w:rsidR="008E5052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</w:t>
      </w:r>
      <w:r w:rsidR="00DF7BBE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регуючі</w:t>
      </w:r>
      <w:proofErr w:type="spellEnd"/>
      <w:r w:rsidR="00DF7BBE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(пом’якшувальні) заходи для малого підприємництва щодо запропонованого регулювання</w:t>
      </w:r>
      <w:r w:rsidR="00DF7BBE"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не передбачаються.</w:t>
      </w:r>
    </w:p>
    <w:p w14:paraId="3FB21C6C" w14:textId="77777777" w:rsidR="00CB1928" w:rsidRPr="001A795A" w:rsidRDefault="00CB1928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736EA1B" w14:textId="77777777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VII. Обґрунтування запропонованого строку дії регуляторного акта</w:t>
      </w:r>
    </w:p>
    <w:p w14:paraId="2EAE86BD" w14:textId="471FA4C1" w:rsidR="00DF7BBE" w:rsidRPr="001A795A" w:rsidRDefault="00DF7BBE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9" w:name="n167"/>
      <w:bookmarkEnd w:id="49"/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Строк дії проєкту акта не обмежується у часі, що дасть змогу досягти цілей державного регулювання. </w:t>
      </w:r>
    </w:p>
    <w:p w14:paraId="041E3178" w14:textId="7873D301" w:rsidR="00DF7BBE" w:rsidRPr="001A795A" w:rsidRDefault="00DF7BBE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>Проєкт акта набирає чинності з дня його офіційного опублікування.</w:t>
      </w:r>
    </w:p>
    <w:p w14:paraId="4E533584" w14:textId="3517ED10" w:rsidR="00DF7BBE" w:rsidRPr="001A795A" w:rsidRDefault="00D5226F" w:rsidP="001A795A">
      <w:pPr>
        <w:shd w:val="clear" w:color="auto" w:fill="FFFFFF"/>
        <w:tabs>
          <w:tab w:val="left" w:pos="65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4F6C7434" w14:textId="3B8B70BE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0" w:name="n168"/>
      <w:bookmarkEnd w:id="50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VIII. Визначення показників результативності дії регуляторного акта</w:t>
      </w:r>
    </w:p>
    <w:p w14:paraId="0EB2CEE1" w14:textId="1AE44457" w:rsidR="006710ED" w:rsidRPr="001A795A" w:rsidRDefault="00AE3F74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1" w:name="n169"/>
      <w:bookmarkEnd w:id="51"/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рогнозн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результативності дії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</w:t>
      </w:r>
      <w:r w:rsidR="006710ED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акта 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є:</w:t>
      </w:r>
    </w:p>
    <w:p w14:paraId="6C89A860" w14:textId="77777777" w:rsidR="00273439" w:rsidRPr="001A795A" w:rsidRDefault="00273439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тривалості демонстрування національних фільмів, інших фільмів, вироблених суб’єктами кінематографії в Україні, і творів національної кінематографічної спадщини – квота, встановлена статтею 15</w:t>
      </w:r>
      <w:r w:rsidRPr="001A795A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(з 01.01.2022 становить 30% від загального щомісячного часу демонстрації фільмів);</w:t>
      </w:r>
    </w:p>
    <w:p w14:paraId="2BA4D0A5" w14:textId="1C70506F" w:rsidR="005756EB" w:rsidRPr="001A795A" w:rsidRDefault="00AE3F74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CC40D8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форм звітності, поданих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суб’єкт</w:t>
      </w:r>
      <w:r w:rsidR="00CC40D8" w:rsidRPr="001A795A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</w:t>
      </w:r>
      <w:r w:rsidR="00CC40D8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місцевим органам управління кінематографії </w:t>
      </w:r>
      <w:r w:rsidR="00916B6E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5756EB" w:rsidRPr="001A795A">
        <w:rPr>
          <w:rFonts w:ascii="Times New Roman" w:hAnsi="Times New Roman" w:cs="Times New Roman"/>
          <w:sz w:val="24"/>
          <w:szCs w:val="24"/>
          <w:lang w:val="uk-UA"/>
        </w:rPr>
        <w:t>демонстраторів, які підпадають пі</w:t>
      </w:r>
      <w:r w:rsidR="00E443F8" w:rsidRPr="001A795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756EB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дію проєкт</w:t>
      </w:r>
      <w:r w:rsidR="00F35FEE" w:rsidRPr="001A79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756EB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акта (</w:t>
      </w:r>
      <w:r w:rsidR="00F35FEE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середньо-облікова кількість демонстраторів за 2020-2023 роки становить 349</w:t>
      </w:r>
      <w:r w:rsidR="00F0009D" w:rsidRPr="001A79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суб’єктів</w:t>
      </w:r>
      <w:r w:rsidR="00F35FEE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);</w:t>
      </w:r>
    </w:p>
    <w:p w14:paraId="0D2018E6" w14:textId="442BB2F1" w:rsidR="00273439" w:rsidRPr="001A795A" w:rsidRDefault="00273439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форм звітності, поданих місцевими органами управління кінематографії Держкіно – кількість органів виконавчої влади Автономної Республіки Крим, обласні,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lastRenderedPageBreak/>
        <w:t>Київська та Севастопольська міські державні адміністрації (з урахування воєнного стану функціонують 24 обласних військових адміністрацій та Київська міс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ка державна адміністрація);</w:t>
      </w:r>
    </w:p>
    <w:p w14:paraId="06AE0465" w14:textId="48648BA2" w:rsidR="00273439" w:rsidRPr="001A795A" w:rsidRDefault="00273439" w:rsidP="001A795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фільмів, які </w:t>
      </w:r>
      <w:r w:rsidR="008803D4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можуть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демонстру</w:t>
      </w:r>
      <w:r w:rsidR="008803D4" w:rsidRPr="001A795A">
        <w:rPr>
          <w:rFonts w:ascii="Times New Roman" w:hAnsi="Times New Roman" w:cs="Times New Roman"/>
          <w:sz w:val="24"/>
          <w:szCs w:val="24"/>
          <w:lang w:val="uk-UA"/>
        </w:rPr>
        <w:t>ватися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суб’єк</w:t>
      </w:r>
      <w:r w:rsidR="009B042B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тами господарювання 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B042B" w:rsidRPr="001A795A">
        <w:rPr>
          <w:rFonts w:ascii="Times New Roman" w:hAnsi="Times New Roman" w:cs="Times New Roman"/>
          <w:sz w:val="24"/>
          <w:szCs w:val="24"/>
          <w:lang w:val="uk-UA"/>
        </w:rPr>
        <w:t>кількість фільмів, внесених до Державного реєстру фільмів (станом на 2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B042B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серпня 2024 року до Державного реєс</w:t>
      </w:r>
      <w:r w:rsidR="00C14EB8" w:rsidRPr="001A795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B042B" w:rsidRPr="001A795A">
        <w:rPr>
          <w:rFonts w:ascii="Times New Roman" w:hAnsi="Times New Roman" w:cs="Times New Roman"/>
          <w:sz w:val="24"/>
          <w:szCs w:val="24"/>
          <w:lang w:val="uk-UA"/>
        </w:rPr>
        <w:t>ру фільмів внесено 18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9B042B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фільмів);</w:t>
      </w:r>
    </w:p>
    <w:p w14:paraId="3DC2A97A" w14:textId="5A6879ED" w:rsidR="008803D4" w:rsidRPr="001A795A" w:rsidRDefault="008803D4" w:rsidP="001A795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>кількість національних фільмів, які можуть демонструватися суб’єктами господарювання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кількість фільмів, яким надано статус національного (</w:t>
      </w:r>
      <w:r w:rsidR="004876DC" w:rsidRPr="001A795A">
        <w:rPr>
          <w:rFonts w:ascii="Times New Roman" w:hAnsi="Times New Roman" w:cs="Times New Roman"/>
          <w:sz w:val="24"/>
          <w:szCs w:val="24"/>
          <w:lang w:val="uk-UA"/>
        </w:rPr>
        <w:t>станом на 2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876DC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серпня 2024 року видано 178</w:t>
      </w:r>
      <w:r w:rsidR="009D1E30" w:rsidRPr="001A795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876DC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свідоцтв національного фільму)</w:t>
      </w:r>
      <w:r w:rsidR="00F84840" w:rsidRPr="001A795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1843BF4" w14:textId="05FA14E1" w:rsidR="00BD19B7" w:rsidRPr="001A795A" w:rsidRDefault="00AE3F74" w:rsidP="001A795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розмір надходжень до державного бюджету – </w:t>
      </w:r>
      <w:r w:rsidR="00F84840" w:rsidRPr="001A795A">
        <w:rPr>
          <w:rFonts w:ascii="Times New Roman" w:hAnsi="Times New Roman" w:cs="Times New Roman"/>
          <w:sz w:val="24"/>
          <w:szCs w:val="24"/>
          <w:lang w:val="uk-UA"/>
        </w:rPr>
        <w:t>розмір штрафу</w:t>
      </w:r>
      <w:r w:rsidR="00BB634A" w:rsidRPr="001A795A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F84840" w:rsidRPr="001A795A">
        <w:rPr>
          <w:rFonts w:ascii="Times New Roman" w:hAnsi="Times New Roman" w:cs="Times New Roman"/>
          <w:sz w:val="24"/>
          <w:szCs w:val="24"/>
          <w:lang w:val="uk-UA"/>
        </w:rPr>
        <w:t>результатом порушення умов розповсюдження та демонстрування фільмів;</w:t>
      </w:r>
    </w:p>
    <w:p w14:paraId="6F4B939F" w14:textId="78BDA45E" w:rsidR="00BD19B7" w:rsidRPr="001A795A" w:rsidRDefault="00BD19B7" w:rsidP="001A795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коштів і час, що витрачатимуться суб'єктами господарювання – </w:t>
      </w:r>
      <w:r w:rsidR="001E2322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витрати, пов’язані зі складанням та поданням оновленої звітності (орієнтовний розрахунок становить 446,40 грн.) т</w:t>
      </w:r>
      <w:r w:rsidR="004A66C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кількість ч</w:t>
      </w:r>
      <w:r w:rsidR="004A66C9"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асу, який витрачається суб’єктом господарювання </w:t>
      </w:r>
      <w:r w:rsidR="00796E61" w:rsidRPr="001A79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 реалізації проєкту акта</w:t>
      </w:r>
      <w:r w:rsidR="004A66C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796E6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орієнтовний розрахунок становить 4,20</w:t>
      </w:r>
      <w:r w:rsidR="004A66C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годин</w:t>
      </w:r>
      <w:r w:rsidR="00796E61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A66C9"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року)</w:t>
      </w:r>
      <w:r w:rsidRPr="001A79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2808D8E" w14:textId="0EE9877B" w:rsidR="00AE3F74" w:rsidRPr="001A795A" w:rsidRDefault="00AE3F74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hAnsi="Times New Roman" w:cs="Times New Roman"/>
          <w:sz w:val="24"/>
          <w:szCs w:val="24"/>
          <w:lang w:val="uk-UA"/>
        </w:rPr>
        <w:t>рівень поінформованості суб’єктів господарювання та/або фізичних осіб із основних положень акта – високий (відповідно до статті 5 Закону України «Про засади державної регуляторної політики у сфері господарської діяльності» та статті 15 Закону України «Про доступ до публічної інформації» про</w:t>
      </w:r>
      <w:r w:rsidR="00C8111A" w:rsidRPr="001A795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A795A">
        <w:rPr>
          <w:rFonts w:ascii="Times New Roman" w:hAnsi="Times New Roman" w:cs="Times New Roman"/>
          <w:sz w:val="24"/>
          <w:szCs w:val="24"/>
          <w:lang w:val="uk-UA"/>
        </w:rPr>
        <w:t>кт акту оприлюднено на офіційному веб-сайті Держкіно)</w:t>
      </w:r>
      <w:r w:rsidR="00BB634A" w:rsidRPr="001A79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C8168E" w14:textId="77777777" w:rsidR="00BD19B7" w:rsidRPr="001A795A" w:rsidRDefault="00BD19B7" w:rsidP="001A795A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B7921BC" w14:textId="161C9B5A" w:rsidR="006710ED" w:rsidRPr="001A795A" w:rsidRDefault="006710ED" w:rsidP="001A79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52" w:name="n37"/>
      <w:bookmarkStart w:id="53" w:name="n38"/>
      <w:bookmarkEnd w:id="52"/>
      <w:bookmarkEnd w:id="53"/>
      <w:r w:rsidRPr="001A795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08219828" w14:textId="77777777" w:rsidR="008F6898" w:rsidRPr="001A795A" w:rsidRDefault="00916A50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4" w:name="n171"/>
      <w:bookmarkStart w:id="55" w:name="n234"/>
      <w:bookmarkEnd w:id="54"/>
      <w:bookmarkEnd w:id="55"/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результативності регуляторного акта буде здійснюватися в три етапи:</w:t>
      </w:r>
    </w:p>
    <w:p w14:paraId="0A2AA330" w14:textId="77777777" w:rsidR="008F6898" w:rsidRPr="001A795A" w:rsidRDefault="008F689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916A50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азове відстеження – через рік з дня набрання актом чинності;</w:t>
      </w:r>
    </w:p>
    <w:p w14:paraId="6AD36E85" w14:textId="77777777" w:rsidR="008F6898" w:rsidRPr="001A795A" w:rsidRDefault="008F689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16A50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овторне відстеження – через два роки з дня набрання актом чинності;</w:t>
      </w:r>
    </w:p>
    <w:p w14:paraId="01A8B64E" w14:textId="77777777" w:rsidR="008F6898" w:rsidRPr="001A795A" w:rsidRDefault="008F6898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916A50"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еріодичне відстеження – раз на три роки, починаючи з дня виконання заходів з повторного відстеження результативності.</w:t>
      </w:r>
    </w:p>
    <w:p w14:paraId="4C86B057" w14:textId="2462E99B" w:rsidR="00916A50" w:rsidRDefault="00916A50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795A">
        <w:rPr>
          <w:rFonts w:ascii="Times New Roman" w:eastAsia="Times New Roman" w:hAnsi="Times New Roman" w:cs="Times New Roman"/>
          <w:sz w:val="24"/>
          <w:szCs w:val="24"/>
          <w:lang w:val="uk-UA"/>
        </w:rPr>
        <w:t>Відстеження результативності регуляторного акта буде здійснюватися Державним агентством України з питань кіно статистичним методом шляхом аналізу власних інформаційних джерел.</w:t>
      </w:r>
    </w:p>
    <w:p w14:paraId="1D91C0ED" w14:textId="77777777" w:rsidR="001A795A" w:rsidRPr="001A795A" w:rsidRDefault="001A795A" w:rsidP="001A79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E541DE" w14:textId="77777777" w:rsidR="008F6898" w:rsidRPr="001A795A" w:rsidRDefault="008F6898" w:rsidP="001A79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0A8C99" w14:textId="630A9E4A" w:rsidR="003A6902" w:rsidRPr="001A795A" w:rsidRDefault="00796E52" w:rsidP="001A795A">
      <w:pPr>
        <w:tabs>
          <w:tab w:val="left" w:pos="68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Т.в.о</w:t>
      </w:r>
      <w:proofErr w:type="spellEnd"/>
      <w:r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66758E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</w:t>
      </w:r>
      <w:r w:rsidR="00916A50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олов</w:t>
      </w:r>
      <w:r w:rsidR="0066758E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и</w:t>
      </w:r>
      <w:r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A6902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Державного агентства України </w:t>
      </w:r>
    </w:p>
    <w:p w14:paraId="279EC0F6" w14:textId="2182FB66" w:rsidR="00916A50" w:rsidRPr="001A795A" w:rsidRDefault="003A6902" w:rsidP="001A795A">
      <w:pPr>
        <w:tabs>
          <w:tab w:val="left" w:pos="68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 питань кіно</w:t>
      </w:r>
      <w:r w:rsidR="00916A50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16A50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66758E" w:rsidRPr="001A795A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Юлія ШЕВЧУК</w:t>
      </w:r>
    </w:p>
    <w:p w14:paraId="6B3553F5" w14:textId="40F7237F" w:rsidR="008F6898" w:rsidRPr="001A795A" w:rsidRDefault="008F6898" w:rsidP="001A79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3079AC">
        <w:rPr>
          <w:rFonts w:ascii="Times New Roman" w:hAnsi="Times New Roman" w:cs="Times New Roman"/>
          <w:sz w:val="24"/>
          <w:szCs w:val="24"/>
          <w:lang w:val="uk-UA" w:eastAsia="ru-RU"/>
        </w:rPr>
        <w:t>29</w:t>
      </w: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>» </w:t>
      </w:r>
      <w:r w:rsidR="00796E52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серпня</w:t>
      </w: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202</w:t>
      </w:r>
      <w:r w:rsidR="00796E52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  <w:r w:rsidRPr="001A795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</w:t>
      </w:r>
      <w:r w:rsidR="00796E52" w:rsidRPr="001A795A">
        <w:rPr>
          <w:rFonts w:ascii="Times New Roman" w:hAnsi="Times New Roman" w:cs="Times New Roman"/>
          <w:sz w:val="24"/>
          <w:szCs w:val="24"/>
          <w:lang w:val="uk-UA" w:eastAsia="ru-RU"/>
        </w:rPr>
        <w:t>оку</w:t>
      </w:r>
    </w:p>
    <w:p w14:paraId="07C9FE81" w14:textId="77777777" w:rsidR="008F6898" w:rsidRPr="001A795A" w:rsidRDefault="008F6898" w:rsidP="001A795A">
      <w:pPr>
        <w:tabs>
          <w:tab w:val="left" w:pos="68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95E9F1F" w14:textId="6627DEC2" w:rsidR="006710ED" w:rsidRPr="001A795A" w:rsidRDefault="006710ED" w:rsidP="001A795A">
      <w:pPr>
        <w:shd w:val="clear" w:color="auto" w:fill="FFFFFF"/>
        <w:tabs>
          <w:tab w:val="left" w:pos="21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67FD9E" w14:textId="77777777" w:rsidR="00360C78" w:rsidRPr="001A795A" w:rsidRDefault="00360C78" w:rsidP="001A795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</w:pPr>
      <w:bookmarkStart w:id="56" w:name="n176"/>
      <w:bookmarkStart w:id="57" w:name="n177"/>
      <w:bookmarkEnd w:id="56"/>
      <w:bookmarkEnd w:id="57"/>
    </w:p>
    <w:p w14:paraId="5D755A43" w14:textId="77777777" w:rsidR="000F151E" w:rsidRPr="001A795A" w:rsidRDefault="000F151E" w:rsidP="001A795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</w:pPr>
    </w:p>
    <w:p w14:paraId="049E1FB2" w14:textId="77777777" w:rsidR="000F151E" w:rsidRPr="001A795A" w:rsidRDefault="000F151E" w:rsidP="001A795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</w:pPr>
    </w:p>
    <w:p w14:paraId="4D89FAAF" w14:textId="77777777" w:rsidR="000F151E" w:rsidRPr="001A795A" w:rsidRDefault="000F151E" w:rsidP="001A795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</w:pPr>
    </w:p>
    <w:p w14:paraId="087B3708" w14:textId="77777777" w:rsidR="000F151E" w:rsidRPr="001A795A" w:rsidRDefault="000F151E" w:rsidP="001A795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val="uk-UA" w:eastAsia="ru-RU"/>
        </w:rPr>
      </w:pPr>
    </w:p>
    <w:sectPr w:rsidR="000F151E" w:rsidRPr="001A795A" w:rsidSect="00E239A2">
      <w:headerReference w:type="default" r:id="rId7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5B63" w14:textId="77777777" w:rsidR="007C5247" w:rsidRDefault="007C5247" w:rsidP="003F567E">
      <w:pPr>
        <w:spacing w:after="0" w:line="240" w:lineRule="auto"/>
      </w:pPr>
      <w:r>
        <w:separator/>
      </w:r>
    </w:p>
  </w:endnote>
  <w:endnote w:type="continuationSeparator" w:id="0">
    <w:p w14:paraId="1F6B628A" w14:textId="77777777" w:rsidR="007C5247" w:rsidRDefault="007C5247" w:rsidP="003F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B647" w14:textId="77777777" w:rsidR="007C5247" w:rsidRDefault="007C5247" w:rsidP="003F567E">
      <w:pPr>
        <w:spacing w:after="0" w:line="240" w:lineRule="auto"/>
      </w:pPr>
      <w:r>
        <w:separator/>
      </w:r>
    </w:p>
  </w:footnote>
  <w:footnote w:type="continuationSeparator" w:id="0">
    <w:p w14:paraId="718BA28D" w14:textId="77777777" w:rsidR="007C5247" w:rsidRDefault="007C5247" w:rsidP="003F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5243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1797EC" w14:textId="2058FF87" w:rsidR="003F567E" w:rsidRPr="003F567E" w:rsidRDefault="003F567E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56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56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56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F567E">
          <w:rPr>
            <w:rFonts w:ascii="Times New Roman" w:hAnsi="Times New Roman" w:cs="Times New Roman"/>
            <w:sz w:val="20"/>
            <w:szCs w:val="20"/>
            <w:lang w:val="uk-UA"/>
          </w:rPr>
          <w:t>2</w:t>
        </w:r>
        <w:r w:rsidRPr="003F56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5709AF" w14:textId="77777777" w:rsidR="003F567E" w:rsidRDefault="003F5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204BE"/>
    <w:multiLevelType w:val="hybridMultilevel"/>
    <w:tmpl w:val="DB8C444C"/>
    <w:lvl w:ilvl="0" w:tplc="FB047D20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781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8"/>
    <w:rsid w:val="000073B7"/>
    <w:rsid w:val="00024A28"/>
    <w:rsid w:val="000759F8"/>
    <w:rsid w:val="000815B9"/>
    <w:rsid w:val="000834ED"/>
    <w:rsid w:val="00085131"/>
    <w:rsid w:val="000867D1"/>
    <w:rsid w:val="000932B7"/>
    <w:rsid w:val="00094F36"/>
    <w:rsid w:val="000C7E49"/>
    <w:rsid w:val="000D5A48"/>
    <w:rsid w:val="000D5A68"/>
    <w:rsid w:val="000F151E"/>
    <w:rsid w:val="000F5466"/>
    <w:rsid w:val="00106FFC"/>
    <w:rsid w:val="001206D8"/>
    <w:rsid w:val="00136DD2"/>
    <w:rsid w:val="00170C20"/>
    <w:rsid w:val="00175F3A"/>
    <w:rsid w:val="00176018"/>
    <w:rsid w:val="001A1C01"/>
    <w:rsid w:val="001A3D00"/>
    <w:rsid w:val="001A795A"/>
    <w:rsid w:val="001E2322"/>
    <w:rsid w:val="001E5567"/>
    <w:rsid w:val="001F6278"/>
    <w:rsid w:val="002016A0"/>
    <w:rsid w:val="002155A6"/>
    <w:rsid w:val="00266885"/>
    <w:rsid w:val="00273439"/>
    <w:rsid w:val="00286526"/>
    <w:rsid w:val="002A5CA5"/>
    <w:rsid w:val="002B3BB6"/>
    <w:rsid w:val="002F3112"/>
    <w:rsid w:val="003079AC"/>
    <w:rsid w:val="003119AB"/>
    <w:rsid w:val="00360C78"/>
    <w:rsid w:val="003751DA"/>
    <w:rsid w:val="00380F8D"/>
    <w:rsid w:val="003942B6"/>
    <w:rsid w:val="003A6902"/>
    <w:rsid w:val="003B2B69"/>
    <w:rsid w:val="003E5E21"/>
    <w:rsid w:val="003F567E"/>
    <w:rsid w:val="00411801"/>
    <w:rsid w:val="00412BEC"/>
    <w:rsid w:val="004326C5"/>
    <w:rsid w:val="00434638"/>
    <w:rsid w:val="0044341C"/>
    <w:rsid w:val="00444429"/>
    <w:rsid w:val="004674C1"/>
    <w:rsid w:val="004876DC"/>
    <w:rsid w:val="0049017E"/>
    <w:rsid w:val="004A66C9"/>
    <w:rsid w:val="004B1724"/>
    <w:rsid w:val="004B7710"/>
    <w:rsid w:val="004B7D13"/>
    <w:rsid w:val="004D5ABB"/>
    <w:rsid w:val="004F4F1F"/>
    <w:rsid w:val="0050538F"/>
    <w:rsid w:val="0051031D"/>
    <w:rsid w:val="00553076"/>
    <w:rsid w:val="00571A0C"/>
    <w:rsid w:val="005756EB"/>
    <w:rsid w:val="00596870"/>
    <w:rsid w:val="005E2403"/>
    <w:rsid w:val="006016CD"/>
    <w:rsid w:val="006040BD"/>
    <w:rsid w:val="0061142A"/>
    <w:rsid w:val="00624ADA"/>
    <w:rsid w:val="00645F79"/>
    <w:rsid w:val="00657FA0"/>
    <w:rsid w:val="00661FA9"/>
    <w:rsid w:val="0066342D"/>
    <w:rsid w:val="00663B93"/>
    <w:rsid w:val="0066758E"/>
    <w:rsid w:val="006710ED"/>
    <w:rsid w:val="0067382B"/>
    <w:rsid w:val="006840D6"/>
    <w:rsid w:val="006917EB"/>
    <w:rsid w:val="006A077F"/>
    <w:rsid w:val="006C5CAE"/>
    <w:rsid w:val="006D78FA"/>
    <w:rsid w:val="006E7023"/>
    <w:rsid w:val="00707667"/>
    <w:rsid w:val="00710483"/>
    <w:rsid w:val="00720E33"/>
    <w:rsid w:val="00730B79"/>
    <w:rsid w:val="00746BDA"/>
    <w:rsid w:val="00754CC8"/>
    <w:rsid w:val="00767223"/>
    <w:rsid w:val="00796C29"/>
    <w:rsid w:val="00796E52"/>
    <w:rsid w:val="00796E61"/>
    <w:rsid w:val="007C5247"/>
    <w:rsid w:val="007F1AE7"/>
    <w:rsid w:val="008112E0"/>
    <w:rsid w:val="00815983"/>
    <w:rsid w:val="0083547A"/>
    <w:rsid w:val="00845E03"/>
    <w:rsid w:val="008803D4"/>
    <w:rsid w:val="008841FC"/>
    <w:rsid w:val="008D2F63"/>
    <w:rsid w:val="008E5052"/>
    <w:rsid w:val="008F6898"/>
    <w:rsid w:val="00915E0F"/>
    <w:rsid w:val="00916A50"/>
    <w:rsid w:val="00916B6E"/>
    <w:rsid w:val="009351DB"/>
    <w:rsid w:val="009416EA"/>
    <w:rsid w:val="00966EAB"/>
    <w:rsid w:val="00977F7B"/>
    <w:rsid w:val="009A3F9E"/>
    <w:rsid w:val="009B042B"/>
    <w:rsid w:val="009C0CAB"/>
    <w:rsid w:val="009C167F"/>
    <w:rsid w:val="009D1E30"/>
    <w:rsid w:val="009E72F5"/>
    <w:rsid w:val="009F7D1E"/>
    <w:rsid w:val="00A00AFB"/>
    <w:rsid w:val="00A04327"/>
    <w:rsid w:val="00A26BCF"/>
    <w:rsid w:val="00A47AB1"/>
    <w:rsid w:val="00A65DB8"/>
    <w:rsid w:val="00A80D2A"/>
    <w:rsid w:val="00A81DA6"/>
    <w:rsid w:val="00A849EF"/>
    <w:rsid w:val="00A8557F"/>
    <w:rsid w:val="00AA7568"/>
    <w:rsid w:val="00AE3F74"/>
    <w:rsid w:val="00B01C27"/>
    <w:rsid w:val="00B02F44"/>
    <w:rsid w:val="00B2793B"/>
    <w:rsid w:val="00B35CF2"/>
    <w:rsid w:val="00B57ED5"/>
    <w:rsid w:val="00B712BD"/>
    <w:rsid w:val="00B7309F"/>
    <w:rsid w:val="00B81562"/>
    <w:rsid w:val="00BB634A"/>
    <w:rsid w:val="00BD19B7"/>
    <w:rsid w:val="00BE6CBD"/>
    <w:rsid w:val="00C14EB8"/>
    <w:rsid w:val="00C418D6"/>
    <w:rsid w:val="00C566B1"/>
    <w:rsid w:val="00C6708E"/>
    <w:rsid w:val="00C8111A"/>
    <w:rsid w:val="00C83785"/>
    <w:rsid w:val="00C93172"/>
    <w:rsid w:val="00CA62AF"/>
    <w:rsid w:val="00CB1928"/>
    <w:rsid w:val="00CC40D8"/>
    <w:rsid w:val="00CC78FF"/>
    <w:rsid w:val="00CF324F"/>
    <w:rsid w:val="00D056D3"/>
    <w:rsid w:val="00D209E6"/>
    <w:rsid w:val="00D2147C"/>
    <w:rsid w:val="00D222F7"/>
    <w:rsid w:val="00D30471"/>
    <w:rsid w:val="00D40E71"/>
    <w:rsid w:val="00D4476D"/>
    <w:rsid w:val="00D5226F"/>
    <w:rsid w:val="00D61FEC"/>
    <w:rsid w:val="00D63627"/>
    <w:rsid w:val="00D6555E"/>
    <w:rsid w:val="00D91227"/>
    <w:rsid w:val="00DA37E8"/>
    <w:rsid w:val="00DA4FD1"/>
    <w:rsid w:val="00DB10CF"/>
    <w:rsid w:val="00DC4A6A"/>
    <w:rsid w:val="00DD7CC9"/>
    <w:rsid w:val="00DE2EA4"/>
    <w:rsid w:val="00DF1D06"/>
    <w:rsid w:val="00DF7BBE"/>
    <w:rsid w:val="00E105BE"/>
    <w:rsid w:val="00E239A2"/>
    <w:rsid w:val="00E23F1D"/>
    <w:rsid w:val="00E2752F"/>
    <w:rsid w:val="00E369EA"/>
    <w:rsid w:val="00E443F8"/>
    <w:rsid w:val="00E54F2B"/>
    <w:rsid w:val="00E57127"/>
    <w:rsid w:val="00E777EF"/>
    <w:rsid w:val="00EA5E8E"/>
    <w:rsid w:val="00EB2677"/>
    <w:rsid w:val="00EE2345"/>
    <w:rsid w:val="00EE7451"/>
    <w:rsid w:val="00EE7F97"/>
    <w:rsid w:val="00F0009D"/>
    <w:rsid w:val="00F0609A"/>
    <w:rsid w:val="00F22080"/>
    <w:rsid w:val="00F23D98"/>
    <w:rsid w:val="00F35FEE"/>
    <w:rsid w:val="00F36F09"/>
    <w:rsid w:val="00F404A0"/>
    <w:rsid w:val="00F61217"/>
    <w:rsid w:val="00F63A85"/>
    <w:rsid w:val="00F74ED9"/>
    <w:rsid w:val="00F81222"/>
    <w:rsid w:val="00F84840"/>
    <w:rsid w:val="00FA7823"/>
    <w:rsid w:val="00FB03E5"/>
    <w:rsid w:val="00FC13E1"/>
    <w:rsid w:val="00FC1E17"/>
    <w:rsid w:val="00FD43A9"/>
    <w:rsid w:val="00FD47BD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D210"/>
  <w15:chartTrackingRefBased/>
  <w15:docId w15:val="{8DC4FEEF-8D14-47A1-8F3C-019EC738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E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707667"/>
  </w:style>
  <w:style w:type="character" w:customStyle="1" w:styleId="rvts23">
    <w:name w:val="rvts23"/>
    <w:basedOn w:val="a0"/>
    <w:rsid w:val="00707667"/>
  </w:style>
  <w:style w:type="character" w:styleId="a3">
    <w:name w:val="Strong"/>
    <w:basedOn w:val="a0"/>
    <w:uiPriority w:val="22"/>
    <w:qFormat/>
    <w:rsid w:val="00CF324F"/>
    <w:rPr>
      <w:b/>
      <w:bCs/>
    </w:rPr>
  </w:style>
  <w:style w:type="paragraph" w:styleId="a4">
    <w:name w:val="header"/>
    <w:basedOn w:val="a"/>
    <w:link w:val="a5"/>
    <w:uiPriority w:val="99"/>
    <w:unhideWhenUsed/>
    <w:rsid w:val="003F56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qFormat/>
    <w:rsid w:val="003F567E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3F56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567E"/>
    <w:rPr>
      <w:kern w:val="0"/>
      <w:lang w:val="ru-RU"/>
      <w14:ligatures w14:val="none"/>
    </w:rPr>
  </w:style>
  <w:style w:type="table" w:styleId="a8">
    <w:name w:val="Table Grid"/>
    <w:basedOn w:val="a1"/>
    <w:uiPriority w:val="39"/>
    <w:rsid w:val="001E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F546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5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14848</Words>
  <Characters>8464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USFA GOV.UA</dc:creator>
  <cp:keywords/>
  <dc:description/>
  <cp:lastModifiedBy>Марина Максакова</cp:lastModifiedBy>
  <cp:revision>2</cp:revision>
  <cp:lastPrinted>2024-08-28T11:09:00Z</cp:lastPrinted>
  <dcterms:created xsi:type="dcterms:W3CDTF">2024-08-29T08:53:00Z</dcterms:created>
  <dcterms:modified xsi:type="dcterms:W3CDTF">2024-08-29T08:53:00Z</dcterms:modified>
</cp:coreProperties>
</file>