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B9DA" w14:textId="77777777" w:rsidR="005D1F63" w:rsidRPr="00561736" w:rsidRDefault="005D1F63" w:rsidP="005D1F63">
      <w:pPr>
        <w:spacing w:line="240" w:lineRule="atLeast"/>
        <w:ind w:left="9497" w:right="369"/>
        <w:rPr>
          <w:rFonts w:ascii="Times New Roman" w:eastAsia="Times New Roman" w:hAnsi="Times New Roman" w:cs="Times New Roman"/>
          <w:bCs/>
        </w:rPr>
      </w:pPr>
      <w:bookmarkStart w:id="0" w:name="_Hlk188955987"/>
      <w:r w:rsidRPr="00561736">
        <w:rPr>
          <w:rFonts w:ascii="Times New Roman" w:eastAsia="Times New Roman" w:hAnsi="Times New Roman" w:cs="Times New Roman"/>
          <w:bCs/>
        </w:rPr>
        <w:t>ЗАТВЕРДЖЕНО</w:t>
      </w:r>
    </w:p>
    <w:p w14:paraId="7966A5A7" w14:textId="77777777" w:rsidR="005D1F63" w:rsidRPr="00561736" w:rsidRDefault="005D1F63" w:rsidP="005D1F63">
      <w:pPr>
        <w:spacing w:line="240" w:lineRule="atLeast"/>
        <w:ind w:left="9497" w:right="369"/>
        <w:rPr>
          <w:rFonts w:ascii="Times New Roman" w:eastAsia="Times New Roman" w:hAnsi="Times New Roman" w:cs="Times New Roman"/>
          <w:bCs/>
        </w:rPr>
      </w:pPr>
      <w:r w:rsidRPr="00561736">
        <w:rPr>
          <w:rFonts w:ascii="Times New Roman" w:eastAsia="Times New Roman" w:hAnsi="Times New Roman" w:cs="Times New Roman"/>
          <w:bCs/>
        </w:rPr>
        <w:t>Наказ Державного агентства України з питань кіно</w:t>
      </w:r>
    </w:p>
    <w:p w14:paraId="71EDE01E" w14:textId="7D90B521" w:rsidR="005D1F63" w:rsidRPr="00561736" w:rsidRDefault="00C97830" w:rsidP="005D1F63">
      <w:pPr>
        <w:spacing w:line="240" w:lineRule="atLeast"/>
        <w:ind w:left="9497" w:right="36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«10</w:t>
      </w:r>
      <w:r w:rsidR="005D1F63" w:rsidRPr="00561736">
        <w:rPr>
          <w:rFonts w:ascii="Times New Roman" w:eastAsia="Times New Roman" w:hAnsi="Times New Roman" w:cs="Times New Roman"/>
          <w:bCs/>
        </w:rPr>
        <w:t>»</w:t>
      </w:r>
      <w:r>
        <w:rPr>
          <w:rFonts w:ascii="Times New Roman" w:eastAsia="Times New Roman" w:hAnsi="Times New Roman" w:cs="Times New Roman"/>
          <w:bCs/>
        </w:rPr>
        <w:t xml:space="preserve">лютого </w:t>
      </w:r>
      <w:r w:rsidR="005D1F63" w:rsidRPr="00561736">
        <w:rPr>
          <w:rFonts w:ascii="Times New Roman" w:eastAsia="Times New Roman" w:hAnsi="Times New Roman" w:cs="Times New Roman"/>
          <w:bCs/>
        </w:rPr>
        <w:t xml:space="preserve">2025 року   № </w:t>
      </w:r>
      <w:r>
        <w:rPr>
          <w:rFonts w:ascii="Times New Roman" w:eastAsia="Times New Roman" w:hAnsi="Times New Roman" w:cs="Times New Roman"/>
          <w:bCs/>
        </w:rPr>
        <w:t xml:space="preserve">31 </w:t>
      </w:r>
    </w:p>
    <w:p w14:paraId="753F1015" w14:textId="77777777" w:rsidR="005D1F63" w:rsidRDefault="005D1F63" w:rsidP="005D1F63">
      <w:pPr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14:paraId="6294F820" w14:textId="612F78ED" w:rsidR="00FB0CB3" w:rsidRDefault="00C5028C" w:rsidP="005D1F63">
      <w:pPr>
        <w:ind w:firstLine="567"/>
        <w:jc w:val="center"/>
        <w:rPr>
          <w:rFonts w:ascii="Times New Roman" w:eastAsia="Times New Roman" w:hAnsi="Times New Roman" w:cs="Times New Roman"/>
          <w:bCs/>
        </w:rPr>
      </w:pPr>
      <w:r w:rsidRPr="00953002">
        <w:rPr>
          <w:rFonts w:ascii="Times New Roman" w:eastAsia="Times New Roman" w:hAnsi="Times New Roman" w:cs="Times New Roman"/>
          <w:bCs/>
        </w:rPr>
        <w:t>П</w:t>
      </w:r>
      <w:r w:rsidR="00CD032F">
        <w:rPr>
          <w:rFonts w:ascii="Times New Roman" w:eastAsia="Times New Roman" w:hAnsi="Times New Roman" w:cs="Times New Roman"/>
          <w:bCs/>
        </w:rPr>
        <w:t>ЛАН</w:t>
      </w:r>
      <w:r w:rsidR="00CD032F">
        <w:rPr>
          <w:rFonts w:ascii="Times New Roman" w:eastAsia="Times New Roman" w:hAnsi="Times New Roman" w:cs="Times New Roman"/>
          <w:bCs/>
        </w:rPr>
        <w:br/>
      </w:r>
      <w:r w:rsidR="004D3D7F" w:rsidRPr="00953002">
        <w:rPr>
          <w:rFonts w:ascii="Times New Roman" w:eastAsia="Times New Roman" w:hAnsi="Times New Roman" w:cs="Times New Roman"/>
          <w:bCs/>
        </w:rPr>
        <w:t xml:space="preserve">з </w:t>
      </w:r>
      <w:r w:rsidR="00BF3156" w:rsidRPr="00953002">
        <w:rPr>
          <w:rFonts w:ascii="Times New Roman" w:eastAsia="Times New Roman" w:hAnsi="Times New Roman" w:cs="Times New Roman"/>
          <w:bCs/>
        </w:rPr>
        <w:t>виконання</w:t>
      </w:r>
      <w:bookmarkEnd w:id="0"/>
      <w:r w:rsidR="00CD032F">
        <w:rPr>
          <w:rFonts w:ascii="Times New Roman" w:eastAsia="Times New Roman" w:hAnsi="Times New Roman" w:cs="Times New Roman"/>
          <w:bCs/>
        </w:rPr>
        <w:t xml:space="preserve"> </w:t>
      </w:r>
      <w:r w:rsidR="00CD032F">
        <w:rPr>
          <w:rFonts w:ascii="Times New Roman" w:hAnsi="Times New Roman" w:cs="Times New Roman"/>
          <w:bCs/>
        </w:rPr>
        <w:t>завдань</w:t>
      </w:r>
      <w:r w:rsidR="00CD032F" w:rsidRPr="00CD032F">
        <w:rPr>
          <w:rFonts w:ascii="Times New Roman" w:hAnsi="Times New Roman" w:cs="Times New Roman"/>
          <w:bCs/>
        </w:rPr>
        <w:t>/</w:t>
      </w:r>
      <w:r w:rsidR="00CD032F">
        <w:rPr>
          <w:rFonts w:ascii="Times New Roman" w:hAnsi="Times New Roman" w:cs="Times New Roman"/>
          <w:bCs/>
        </w:rPr>
        <w:t xml:space="preserve">заходів </w:t>
      </w:r>
      <w:r w:rsidR="004D3D7F" w:rsidRPr="00953002">
        <w:rPr>
          <w:rFonts w:ascii="Times New Roman" w:hAnsi="Times New Roman" w:cs="Times New Roman"/>
          <w:bCs/>
        </w:rPr>
        <w:t>операційного плану заходів на 202</w:t>
      </w:r>
      <w:r w:rsidR="000F0347">
        <w:rPr>
          <w:rFonts w:ascii="Times New Roman" w:hAnsi="Times New Roman" w:cs="Times New Roman"/>
          <w:bCs/>
        </w:rPr>
        <w:t>5</w:t>
      </w:r>
      <w:r w:rsidR="004D3D7F" w:rsidRPr="00953002">
        <w:rPr>
          <w:rFonts w:ascii="Times New Roman" w:hAnsi="Times New Roman" w:cs="Times New Roman"/>
          <w:bCs/>
        </w:rPr>
        <w:t xml:space="preserve">–2027 роки з реалізації </w:t>
      </w:r>
      <w:r w:rsidR="000F0347" w:rsidRPr="000F0347">
        <w:rPr>
          <w:rFonts w:ascii="Times New Roman" w:hAnsi="Times New Roman" w:cs="Times New Roman"/>
          <w:bCs/>
        </w:rPr>
        <w:t>Стратегії формування системи повернення з військової служби до цивільного життя на період до 2033 року</w:t>
      </w:r>
      <w:r w:rsidR="00B92D60" w:rsidRPr="00953002">
        <w:rPr>
          <w:rFonts w:ascii="Times New Roman" w:hAnsi="Times New Roman" w:cs="Times New Roman"/>
          <w:bCs/>
        </w:rPr>
        <w:t>,</w:t>
      </w:r>
      <w:r w:rsidR="00CD032F">
        <w:rPr>
          <w:rFonts w:ascii="Times New Roman" w:hAnsi="Times New Roman" w:cs="Times New Roman"/>
          <w:bCs/>
        </w:rPr>
        <w:t xml:space="preserve"> </w:t>
      </w:r>
      <w:r w:rsidR="00B92D60" w:rsidRPr="00953002">
        <w:rPr>
          <w:rFonts w:ascii="Times New Roman" w:hAnsi="Times New Roman" w:cs="Times New Roman"/>
          <w:bCs/>
        </w:rPr>
        <w:t xml:space="preserve">затвердженого розпорядження Кабінету Міністрів України від </w:t>
      </w:r>
      <w:r w:rsidR="000F0347" w:rsidRPr="000F0347">
        <w:rPr>
          <w:rFonts w:ascii="Times New Roman" w:hAnsi="Times New Roman" w:cs="Times New Roman"/>
          <w:bCs/>
        </w:rPr>
        <w:t>31 грудня 2024 року № 1350-р</w:t>
      </w:r>
      <w:r w:rsidR="00CD032F">
        <w:rPr>
          <w:rFonts w:ascii="Times New Roman" w:hAnsi="Times New Roman" w:cs="Times New Roman"/>
          <w:bCs/>
        </w:rPr>
        <w:t xml:space="preserve">, відповідальним за виконання яких </w:t>
      </w:r>
      <w:r w:rsidR="005D1F63" w:rsidRPr="008B3102">
        <w:rPr>
          <w:rFonts w:ascii="Times New Roman" w:hAnsi="Times New Roman" w:cs="Times New Roman"/>
          <w:bCs/>
        </w:rPr>
        <w:t xml:space="preserve">визначено </w:t>
      </w:r>
      <w:r w:rsidR="005D1F63">
        <w:rPr>
          <w:rFonts w:ascii="Times New Roman" w:eastAsia="Times New Roman" w:hAnsi="Times New Roman" w:cs="Times New Roman"/>
          <w:bCs/>
        </w:rPr>
        <w:t>Державне агентство України з питань кіно</w:t>
      </w:r>
    </w:p>
    <w:p w14:paraId="5FD7499A" w14:textId="77777777" w:rsidR="005D1F63" w:rsidRPr="004C57E5" w:rsidRDefault="005D1F63" w:rsidP="005D1F63">
      <w:pPr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14:paraId="04A954D7" w14:textId="77777777" w:rsidR="00FB0CB3" w:rsidRPr="007818EA" w:rsidRDefault="00FB0CB3" w:rsidP="00FB0CB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687"/>
        <w:gridCol w:w="1416"/>
        <w:gridCol w:w="1703"/>
        <w:gridCol w:w="1416"/>
        <w:gridCol w:w="1419"/>
        <w:gridCol w:w="1558"/>
        <w:gridCol w:w="2977"/>
        <w:gridCol w:w="1525"/>
      </w:tblGrid>
      <w:tr w:rsidR="00AF7376" w:rsidRPr="008723F0" w14:paraId="30F2132D" w14:textId="242B7A62" w:rsidTr="00151E26">
        <w:trPr>
          <w:trHeight w:val="323"/>
          <w:tblHeader/>
        </w:trPr>
        <w:tc>
          <w:tcPr>
            <w:tcW w:w="141" w:type="pct"/>
            <w:shd w:val="clear" w:color="auto" w:fill="E7E6E6" w:themeFill="background2"/>
          </w:tcPr>
          <w:p w14:paraId="67EBA3AE" w14:textId="2B45ABD8" w:rsidR="003D4ACB" w:rsidRPr="005D1F63" w:rsidRDefault="003D4ACB" w:rsidP="00516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D1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888" w:type="pct"/>
            <w:shd w:val="clear" w:color="auto" w:fill="E7E6E6" w:themeFill="background2"/>
          </w:tcPr>
          <w:p w14:paraId="67E3ACAC" w14:textId="2BE14ABC" w:rsidR="003D4ACB" w:rsidRPr="005D1F63" w:rsidRDefault="00D14087" w:rsidP="00953002">
            <w:pPr>
              <w:ind w:left="-128" w:right="-103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>С</w:t>
            </w:r>
            <w:r w:rsidR="003D4ACB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>тратегічн</w:t>
            </w: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>а</w:t>
            </w:r>
            <w:r w:rsidR="003D4ACB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ціл</w:t>
            </w: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>ь</w:t>
            </w:r>
            <w:r w:rsidR="003D4ACB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="003D4ACB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 xml:space="preserve">відповідно до </w:t>
            </w:r>
            <w:r w:rsidR="003D4ACB" w:rsidRPr="005D1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операційного плану</w:t>
            </w:r>
          </w:p>
        </w:tc>
        <w:tc>
          <w:tcPr>
            <w:tcW w:w="468" w:type="pct"/>
            <w:shd w:val="clear" w:color="auto" w:fill="E7E6E6" w:themeFill="background2"/>
          </w:tcPr>
          <w:p w14:paraId="55F33D60" w14:textId="692DEAEC" w:rsidR="003D4ACB" w:rsidRPr="005D1F63" w:rsidRDefault="00D14087" w:rsidP="00D14087">
            <w:pPr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Найменування</w:t>
            </w: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з</w:t>
            </w:r>
            <w:r w:rsidR="003D4ACB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  <w:lang w:val="ru-RU"/>
              </w:rPr>
              <w:t>авдання</w:t>
            </w:r>
            <w:r w:rsidR="003D4ACB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 xml:space="preserve"> відповідно до </w:t>
            </w:r>
            <w:r w:rsidR="003D4ACB" w:rsidRPr="005D1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операційного плану</w:t>
            </w:r>
          </w:p>
        </w:tc>
        <w:tc>
          <w:tcPr>
            <w:tcW w:w="563" w:type="pct"/>
            <w:shd w:val="clear" w:color="auto" w:fill="E7E6E6" w:themeFill="background2"/>
          </w:tcPr>
          <w:p w14:paraId="6F866CAE" w14:textId="189CED7C" w:rsidR="003D4ACB" w:rsidRPr="005D1F63" w:rsidRDefault="003D4ACB" w:rsidP="00CD032F">
            <w:pPr>
              <w:ind w:left="-105" w:right="-109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Найменування за</w:t>
            </w:r>
            <w:r w:rsidR="00BE59C8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ходу</w:t>
            </w: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 xml:space="preserve"> відповідно до операційного плану</w:t>
            </w:r>
          </w:p>
        </w:tc>
        <w:tc>
          <w:tcPr>
            <w:tcW w:w="468" w:type="pct"/>
            <w:shd w:val="clear" w:color="auto" w:fill="E7E6E6" w:themeFill="background2"/>
          </w:tcPr>
          <w:p w14:paraId="13044321" w14:textId="577B651B" w:rsidR="003D4ACB" w:rsidRPr="005D1F63" w:rsidRDefault="003D4ACB" w:rsidP="00CD032F">
            <w:pPr>
              <w:ind w:left="-105" w:right="-109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Строк виконання відповідно до операційного плану</w:t>
            </w:r>
          </w:p>
        </w:tc>
        <w:tc>
          <w:tcPr>
            <w:tcW w:w="469" w:type="pct"/>
            <w:shd w:val="clear" w:color="auto" w:fill="E7E6E6" w:themeFill="background2"/>
          </w:tcPr>
          <w:p w14:paraId="3CF6746F" w14:textId="77777777" w:rsidR="003D4ACB" w:rsidRPr="005D1F63" w:rsidRDefault="003D4ACB" w:rsidP="00516B40">
            <w:pPr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Індикатор виконання</w:t>
            </w:r>
          </w:p>
          <w:p w14:paraId="258FFC77" w14:textId="55DD98F8" w:rsidR="003D4ACB" w:rsidRPr="005D1F63" w:rsidRDefault="003D4ACB" w:rsidP="00B452CC">
            <w:pPr>
              <w:ind w:left="-153" w:right="-103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відповідно до операційного плану</w:t>
            </w:r>
          </w:p>
        </w:tc>
        <w:tc>
          <w:tcPr>
            <w:tcW w:w="515" w:type="pct"/>
            <w:shd w:val="clear" w:color="auto" w:fill="E7E6E6" w:themeFill="background2"/>
          </w:tcPr>
          <w:p w14:paraId="1FD532E8" w14:textId="136392CC" w:rsidR="003D4ACB" w:rsidRPr="005D1F63" w:rsidRDefault="003D4ACB" w:rsidP="003D4ACB">
            <w:pPr>
              <w:ind w:left="-102" w:right="-99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Назва структурного підрозділу органу відповідальн</w:t>
            </w:r>
            <w:r w:rsidR="009D0484"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ого</w:t>
            </w: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 xml:space="preserve"> за виконання заходу</w:t>
            </w:r>
          </w:p>
        </w:tc>
        <w:tc>
          <w:tcPr>
            <w:tcW w:w="984" w:type="pct"/>
            <w:shd w:val="clear" w:color="auto" w:fill="E7E6E6" w:themeFill="background2"/>
          </w:tcPr>
          <w:p w14:paraId="510EA14F" w14:textId="2AA8829F" w:rsidR="003D4ACB" w:rsidRPr="005D1F63" w:rsidRDefault="003D4ACB" w:rsidP="00516B40">
            <w:pPr>
              <w:ind w:left="-104" w:right="-109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Інформація про стан виконання*</w:t>
            </w:r>
          </w:p>
        </w:tc>
        <w:tc>
          <w:tcPr>
            <w:tcW w:w="504" w:type="pct"/>
            <w:shd w:val="clear" w:color="auto" w:fill="E7E6E6" w:themeFill="background2"/>
          </w:tcPr>
          <w:p w14:paraId="3302BED2" w14:textId="6DCCF8CC" w:rsidR="003D4ACB" w:rsidRPr="005D1F63" w:rsidRDefault="003D4ACB" w:rsidP="00516B40">
            <w:pPr>
              <w:ind w:left="-104" w:right="-109"/>
              <w:jc w:val="center"/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</w:pPr>
            <w:r w:rsidRPr="005D1F63">
              <w:rPr>
                <w:rFonts w:ascii="Times New Roman" w:eastAsia="Calibri" w:hAnsi="Times New Roman"/>
                <w:b/>
                <w:bCs/>
                <w:noProof/>
                <w:sz w:val="20"/>
                <w:szCs w:val="20"/>
              </w:rPr>
              <w:t>Показник стану виконання**</w:t>
            </w:r>
          </w:p>
        </w:tc>
      </w:tr>
      <w:tr w:rsidR="00151E26" w:rsidRPr="008723F0" w14:paraId="7D8B1077" w14:textId="0B5F4121" w:rsidTr="00151E26">
        <w:trPr>
          <w:trHeight w:val="323"/>
          <w:tblHeader/>
        </w:trPr>
        <w:tc>
          <w:tcPr>
            <w:tcW w:w="141" w:type="pct"/>
            <w:shd w:val="clear" w:color="auto" w:fill="auto"/>
          </w:tcPr>
          <w:p w14:paraId="51D65FDE" w14:textId="794E91A8" w:rsidR="003D4ACB" w:rsidRPr="005D1F63" w:rsidRDefault="00151E26" w:rsidP="00516B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D1F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88" w:type="pct"/>
          </w:tcPr>
          <w:p w14:paraId="3214F181" w14:textId="20A4257D" w:rsidR="003D4ACB" w:rsidRDefault="00AF7376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737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Створення умов для запровадження системи повернення з військової служби до цивільного життя, що передбачає скоординовану діяльність органів державної влади, органів місцевого самоврядування, підприємств, установ, організацій та фізичних осіб, спрямовану на формування та реалізацію комплексних і взаємопов’язаних заходів, необхідних для забезпечення повернення з військової служби до цивільного життя учасників системи повернення (далі - система повернення)</w:t>
            </w:r>
          </w:p>
        </w:tc>
        <w:tc>
          <w:tcPr>
            <w:tcW w:w="468" w:type="pct"/>
          </w:tcPr>
          <w:p w14:paraId="28289C2B" w14:textId="13BDE55E" w:rsidR="00AF7376" w:rsidRPr="00AF7376" w:rsidRDefault="00AF7376" w:rsidP="00AF737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376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Забезпечення здійснення заходів щодо популяризації системи повернення на всіх рівнях із залученням представників інститутів громадянського суспільства (ветеранської спільноти)</w:t>
            </w:r>
          </w:p>
        </w:tc>
        <w:tc>
          <w:tcPr>
            <w:tcW w:w="563" w:type="pct"/>
            <w:shd w:val="clear" w:color="auto" w:fill="auto"/>
          </w:tcPr>
          <w:p w14:paraId="38FBF344" w14:textId="7CEB0E37" w:rsidR="003D4ACB" w:rsidRPr="008723F0" w:rsidRDefault="00151E26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</w:t>
            </w:r>
            <w:r w:rsidRPr="00151E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роведення моніторингу здійснення заходів, визначених прийнятим актом Кабінету Міністрів України щодо популяризації системи повернення на всіх рівнях із залученням представників інститутів громадянського суспільства (ветеранських спільнот)</w:t>
            </w:r>
          </w:p>
        </w:tc>
        <w:tc>
          <w:tcPr>
            <w:tcW w:w="468" w:type="pct"/>
            <w:shd w:val="clear" w:color="auto" w:fill="auto"/>
          </w:tcPr>
          <w:p w14:paraId="34B042C8" w14:textId="76D5D467" w:rsidR="003D4ACB" w:rsidRPr="008723F0" w:rsidRDefault="00151E26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1E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ІІ квартал 2025 р.</w:t>
            </w:r>
          </w:p>
        </w:tc>
        <w:tc>
          <w:tcPr>
            <w:tcW w:w="469" w:type="pct"/>
            <w:shd w:val="clear" w:color="auto" w:fill="auto"/>
          </w:tcPr>
          <w:p w14:paraId="68FECCA5" w14:textId="2932097C" w:rsidR="003D4ACB" w:rsidRPr="008723F0" w:rsidRDefault="00151E26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</w:t>
            </w:r>
            <w:r w:rsidRPr="00151E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роведено моніторинг виконання зазначених заходів</w:t>
            </w:r>
          </w:p>
        </w:tc>
        <w:tc>
          <w:tcPr>
            <w:tcW w:w="515" w:type="pct"/>
            <w:shd w:val="clear" w:color="auto" w:fill="auto"/>
          </w:tcPr>
          <w:p w14:paraId="3B2145B8" w14:textId="77777777" w:rsidR="00CE617D" w:rsidRDefault="005E55F3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E55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Відділ зв’язків з громадськістю та ЗМІ, діловодства і контролю та взаємодії з Радою з державної підтримки кінематографії</w:t>
            </w:r>
            <w:r w:rsidR="000176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bookmarkStart w:id="1" w:name="_Hlk136877779"/>
          </w:p>
          <w:p w14:paraId="6E7EB04F" w14:textId="77777777" w:rsidR="00CE617D" w:rsidRDefault="00CE617D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1FDB58E" w14:textId="067C6D6D" w:rsidR="003D4ACB" w:rsidRPr="008723F0" w:rsidRDefault="000176DC" w:rsidP="00516B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176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Сектор популяризації національних фільмів та підтримки  діяльності кінокомісій</w:t>
            </w:r>
            <w:bookmarkEnd w:id="1"/>
            <w:r w:rsidRPr="00E26253">
              <w:t xml:space="preserve">  </w:t>
            </w:r>
          </w:p>
        </w:tc>
        <w:tc>
          <w:tcPr>
            <w:tcW w:w="984" w:type="pct"/>
            <w:shd w:val="clear" w:color="auto" w:fill="auto"/>
          </w:tcPr>
          <w:p w14:paraId="4D2AB35F" w14:textId="0D618E95" w:rsidR="003D4ACB" w:rsidRPr="008723F0" w:rsidRDefault="003D4ACB" w:rsidP="00516B40">
            <w:pPr>
              <w:ind w:left="-104" w:right="-1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4" w:type="pct"/>
          </w:tcPr>
          <w:p w14:paraId="6052435D" w14:textId="305D7BC2" w:rsidR="003D4ACB" w:rsidRPr="008723F0" w:rsidRDefault="003D4ACB" w:rsidP="00516B40">
            <w:pPr>
              <w:ind w:left="-104" w:right="-1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A4D7A31" w14:textId="77777777" w:rsidR="005D1F63" w:rsidRDefault="005D1F63" w:rsidP="00FB0CB3">
      <w:pPr>
        <w:rPr>
          <w:rFonts w:ascii="Times New Roman" w:hAnsi="Times New Roman" w:cs="Times New Roman"/>
        </w:rPr>
      </w:pPr>
    </w:p>
    <w:p w14:paraId="4BA3C52E" w14:textId="5E9236CF" w:rsidR="003D4ACB" w:rsidRPr="003D4ACB" w:rsidRDefault="003D4ACB" w:rsidP="00FB0CB3">
      <w:pPr>
        <w:rPr>
          <w:rFonts w:ascii="Times New Roman" w:hAnsi="Times New Roman" w:cs="Times New Roman"/>
          <w:lang w:val="ru-RU"/>
        </w:rPr>
      </w:pPr>
      <w:r w:rsidRPr="003D4ACB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D4ACB">
        <w:rPr>
          <w:rFonts w:ascii="Times New Roman" w:hAnsi="Times New Roman" w:cs="Times New Roman"/>
        </w:rPr>
        <w:t>зазначається стислий опис здійснени</w:t>
      </w:r>
      <w:r>
        <w:rPr>
          <w:rFonts w:ascii="Times New Roman" w:hAnsi="Times New Roman" w:cs="Times New Roman"/>
        </w:rPr>
        <w:t>х</w:t>
      </w:r>
      <w:r w:rsidRPr="003D4ACB">
        <w:rPr>
          <w:rFonts w:ascii="Times New Roman" w:hAnsi="Times New Roman" w:cs="Times New Roman"/>
        </w:rPr>
        <w:t xml:space="preserve"> дій, направлених на виконання завдання</w:t>
      </w:r>
      <w:r w:rsidRPr="003D4ACB">
        <w:rPr>
          <w:rFonts w:ascii="Times New Roman" w:hAnsi="Times New Roman" w:cs="Times New Roman"/>
          <w:lang w:val="ru-RU"/>
        </w:rPr>
        <w:t>/</w:t>
      </w:r>
      <w:r w:rsidRPr="003D4ACB">
        <w:rPr>
          <w:rFonts w:ascii="Times New Roman" w:hAnsi="Times New Roman" w:cs="Times New Roman"/>
        </w:rPr>
        <w:t>заходу</w:t>
      </w:r>
      <w:r>
        <w:rPr>
          <w:rFonts w:ascii="Times New Roman" w:hAnsi="Times New Roman" w:cs="Times New Roman"/>
        </w:rPr>
        <w:t>;</w:t>
      </w:r>
    </w:p>
    <w:p w14:paraId="2E85BA1D" w14:textId="645EC9B9" w:rsidR="003D4ACB" w:rsidRPr="003D4ACB" w:rsidRDefault="003D4ACB" w:rsidP="00FB0CB3">
      <w:pPr>
        <w:rPr>
          <w:rFonts w:ascii="Times New Roman" w:hAnsi="Times New Roman" w:cs="Times New Roman"/>
        </w:rPr>
      </w:pPr>
      <w:r w:rsidRPr="003D4ACB">
        <w:rPr>
          <w:rFonts w:ascii="Times New Roman" w:hAnsi="Times New Roman" w:cs="Times New Roman"/>
          <w:lang w:val="ru-RU"/>
        </w:rPr>
        <w:t xml:space="preserve">** </w:t>
      </w:r>
      <w:r w:rsidRPr="003D4ACB">
        <w:rPr>
          <w:rFonts w:ascii="Times New Roman" w:hAnsi="Times New Roman" w:cs="Times New Roman"/>
        </w:rPr>
        <w:t xml:space="preserve">зазначається показник стану виконання – </w:t>
      </w:r>
      <w:r>
        <w:rPr>
          <w:rFonts w:ascii="Times New Roman" w:hAnsi="Times New Roman" w:cs="Times New Roman"/>
        </w:rPr>
        <w:t>«</w:t>
      </w:r>
      <w:r w:rsidRPr="003D4ACB">
        <w:rPr>
          <w:rFonts w:ascii="Times New Roman" w:hAnsi="Times New Roman" w:cs="Times New Roman"/>
        </w:rPr>
        <w:t>не розпочато</w:t>
      </w:r>
      <w:r>
        <w:rPr>
          <w:rFonts w:ascii="Times New Roman" w:hAnsi="Times New Roman" w:cs="Times New Roman"/>
        </w:rPr>
        <w:t>»</w:t>
      </w:r>
      <w:r w:rsidRPr="003D4A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3D4ACB">
        <w:rPr>
          <w:rFonts w:ascii="Times New Roman" w:hAnsi="Times New Roman" w:cs="Times New Roman"/>
        </w:rPr>
        <w:t>виконується</w:t>
      </w:r>
      <w:r>
        <w:rPr>
          <w:rFonts w:ascii="Times New Roman" w:hAnsi="Times New Roman" w:cs="Times New Roman"/>
        </w:rPr>
        <w:t>»</w:t>
      </w:r>
      <w:r w:rsidRPr="003D4A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3D4ACB">
        <w:rPr>
          <w:rFonts w:ascii="Times New Roman" w:hAnsi="Times New Roman" w:cs="Times New Roman"/>
        </w:rPr>
        <w:t>виконано</w:t>
      </w:r>
      <w:r>
        <w:rPr>
          <w:rFonts w:ascii="Times New Roman" w:hAnsi="Times New Roman" w:cs="Times New Roman"/>
        </w:rPr>
        <w:t>».</w:t>
      </w:r>
    </w:p>
    <w:sectPr w:rsidR="003D4ACB" w:rsidRPr="003D4ACB" w:rsidSect="005D1F63">
      <w:pgSz w:w="16838" w:h="11906" w:orient="landscape"/>
      <w:pgMar w:top="709" w:right="850" w:bottom="567" w:left="85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0141" w14:textId="77777777" w:rsidR="005B3F77" w:rsidRDefault="005B3F77" w:rsidP="006877FF">
      <w:r>
        <w:separator/>
      </w:r>
    </w:p>
  </w:endnote>
  <w:endnote w:type="continuationSeparator" w:id="0">
    <w:p w14:paraId="6428DBE4" w14:textId="77777777" w:rsidR="005B3F77" w:rsidRDefault="005B3F77" w:rsidP="0068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9D67" w14:textId="77777777" w:rsidR="005B3F77" w:rsidRDefault="005B3F77" w:rsidP="006877FF">
      <w:r>
        <w:separator/>
      </w:r>
    </w:p>
  </w:footnote>
  <w:footnote w:type="continuationSeparator" w:id="0">
    <w:p w14:paraId="1844E894" w14:textId="77777777" w:rsidR="005B3F77" w:rsidRDefault="005B3F77" w:rsidP="0068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13"/>
    <w:rsid w:val="00000508"/>
    <w:rsid w:val="00016599"/>
    <w:rsid w:val="000176DC"/>
    <w:rsid w:val="00021E3B"/>
    <w:rsid w:val="00060DF2"/>
    <w:rsid w:val="00073663"/>
    <w:rsid w:val="000F0347"/>
    <w:rsid w:val="000F7D68"/>
    <w:rsid w:val="00134DE1"/>
    <w:rsid w:val="00151E26"/>
    <w:rsid w:val="0018073E"/>
    <w:rsid w:val="001A304D"/>
    <w:rsid w:val="002025D8"/>
    <w:rsid w:val="002E1E13"/>
    <w:rsid w:val="00307990"/>
    <w:rsid w:val="003721C0"/>
    <w:rsid w:val="00377272"/>
    <w:rsid w:val="003A26DB"/>
    <w:rsid w:val="003C758B"/>
    <w:rsid w:val="003D4ACB"/>
    <w:rsid w:val="00442D80"/>
    <w:rsid w:val="00464DDF"/>
    <w:rsid w:val="004845B0"/>
    <w:rsid w:val="004C2AFD"/>
    <w:rsid w:val="004D3D7F"/>
    <w:rsid w:val="0053411B"/>
    <w:rsid w:val="00542EA2"/>
    <w:rsid w:val="00543819"/>
    <w:rsid w:val="005564B2"/>
    <w:rsid w:val="00572FD4"/>
    <w:rsid w:val="00596782"/>
    <w:rsid w:val="005B3F77"/>
    <w:rsid w:val="005B6BFC"/>
    <w:rsid w:val="005C49B4"/>
    <w:rsid w:val="005D1F63"/>
    <w:rsid w:val="005E55F3"/>
    <w:rsid w:val="0066444D"/>
    <w:rsid w:val="006877FF"/>
    <w:rsid w:val="006C4210"/>
    <w:rsid w:val="00787426"/>
    <w:rsid w:val="007E380A"/>
    <w:rsid w:val="00847A66"/>
    <w:rsid w:val="00881FB7"/>
    <w:rsid w:val="00882EED"/>
    <w:rsid w:val="0088719D"/>
    <w:rsid w:val="008D2EF0"/>
    <w:rsid w:val="008E74A6"/>
    <w:rsid w:val="00926AF9"/>
    <w:rsid w:val="00953002"/>
    <w:rsid w:val="00963941"/>
    <w:rsid w:val="00975CD9"/>
    <w:rsid w:val="009B46C6"/>
    <w:rsid w:val="009C3BA6"/>
    <w:rsid w:val="009D0484"/>
    <w:rsid w:val="009D2F5E"/>
    <w:rsid w:val="00A23E22"/>
    <w:rsid w:val="00A665A7"/>
    <w:rsid w:val="00A74A9B"/>
    <w:rsid w:val="00AF7376"/>
    <w:rsid w:val="00B452CC"/>
    <w:rsid w:val="00B57B70"/>
    <w:rsid w:val="00B75BD2"/>
    <w:rsid w:val="00B85134"/>
    <w:rsid w:val="00B92D60"/>
    <w:rsid w:val="00BD59AC"/>
    <w:rsid w:val="00BE59C8"/>
    <w:rsid w:val="00BF3156"/>
    <w:rsid w:val="00C5028C"/>
    <w:rsid w:val="00C97830"/>
    <w:rsid w:val="00CB570B"/>
    <w:rsid w:val="00CD032F"/>
    <w:rsid w:val="00CE617D"/>
    <w:rsid w:val="00CF1FC7"/>
    <w:rsid w:val="00CF777E"/>
    <w:rsid w:val="00D06F65"/>
    <w:rsid w:val="00D14087"/>
    <w:rsid w:val="00D625BA"/>
    <w:rsid w:val="00DC465B"/>
    <w:rsid w:val="00DC7CE5"/>
    <w:rsid w:val="00E26C38"/>
    <w:rsid w:val="00E80755"/>
    <w:rsid w:val="00E8596B"/>
    <w:rsid w:val="00EB2BEA"/>
    <w:rsid w:val="00F25404"/>
    <w:rsid w:val="00F94B22"/>
    <w:rsid w:val="00FB0CB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0650A"/>
  <w15:chartTrackingRefBased/>
  <w15:docId w15:val="{B9743A89-E916-4CD6-AD76-DC2BDF1C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B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E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1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1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1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1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1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1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1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1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1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E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E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1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a8">
    <w:name w:val="Цитата Знак"/>
    <w:basedOn w:val="a0"/>
    <w:link w:val="a7"/>
    <w:uiPriority w:val="29"/>
    <w:rsid w:val="002E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1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Intense Emphasis"/>
    <w:basedOn w:val="a0"/>
    <w:uiPriority w:val="21"/>
    <w:qFormat/>
    <w:rsid w:val="002E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c">
    <w:name w:val="Насичена цитата Знак"/>
    <w:basedOn w:val="a0"/>
    <w:link w:val="ab"/>
    <w:uiPriority w:val="30"/>
    <w:rsid w:val="002E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1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FB0CB3"/>
    <w:pPr>
      <w:widowControl w:val="0"/>
      <w:autoSpaceDE w:val="0"/>
      <w:autoSpaceDN w:val="0"/>
    </w:pPr>
    <w:rPr>
      <w:rFonts w:ascii="Times New Roman" w:eastAsia="Calibri" w:hAnsi="Times New Roman" w:cs="Calibri"/>
      <w:kern w:val="0"/>
      <w:sz w:val="22"/>
      <w:szCs w:val="22"/>
      <w:lang w:val="en-US" w:eastAsia="uk-UA"/>
      <w14:ligatures w14:val="none"/>
    </w:rPr>
  </w:style>
  <w:style w:type="paragraph" w:styleId="ae">
    <w:name w:val="Normal (Web)"/>
    <w:basedOn w:val="a"/>
    <w:uiPriority w:val="99"/>
    <w:semiHidden/>
    <w:unhideWhenUsed/>
    <w:rsid w:val="00060DF2"/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6877FF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6877FF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877FF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6877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85DA-312A-4052-AB16-3378812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 2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Довгаль Тетяна Петрівна</dc:creator>
  <cp:keywords/>
  <dc:description/>
  <cp:lastModifiedBy>USFA GOV.UA</cp:lastModifiedBy>
  <cp:revision>5</cp:revision>
  <cp:lastPrinted>2025-02-04T14:56:00Z</cp:lastPrinted>
  <dcterms:created xsi:type="dcterms:W3CDTF">2025-02-07T12:26:00Z</dcterms:created>
  <dcterms:modified xsi:type="dcterms:W3CDTF">2025-02-11T08:51:00Z</dcterms:modified>
</cp:coreProperties>
</file>